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84C7C" w14:textId="77777777" w:rsidR="00DA004A" w:rsidRPr="00DA004A" w:rsidRDefault="00DA004A" w:rsidP="00DA004A">
      <w:pPr>
        <w:spacing w:after="0"/>
        <w:rPr>
          <w:rStyle w:val="Emphasis"/>
          <w:i w:val="0"/>
        </w:rPr>
      </w:pPr>
      <w:r w:rsidRPr="00DA004A">
        <w:rPr>
          <w:rStyle w:val="Emphasis"/>
          <w:i w:val="0"/>
        </w:rPr>
        <w:t xml:space="preserve">IES: The Lighting Society invites members to apply for the </w:t>
      </w:r>
      <w:proofErr w:type="spellStart"/>
      <w:r w:rsidRPr="00DA004A">
        <w:rPr>
          <w:rStyle w:val="Emphasis"/>
          <w:i w:val="0"/>
        </w:rPr>
        <w:t>Gwenyth</w:t>
      </w:r>
      <w:proofErr w:type="spellEnd"/>
      <w:r w:rsidRPr="00DA004A">
        <w:rPr>
          <w:rStyle w:val="Emphasis"/>
          <w:i w:val="0"/>
        </w:rPr>
        <w:t xml:space="preserve"> </w:t>
      </w:r>
      <w:proofErr w:type="spellStart"/>
      <w:r w:rsidRPr="00DA004A">
        <w:rPr>
          <w:rStyle w:val="Emphasis"/>
          <w:i w:val="0"/>
        </w:rPr>
        <w:t>Ewens</w:t>
      </w:r>
      <w:proofErr w:type="spellEnd"/>
      <w:r w:rsidRPr="00DA004A">
        <w:rPr>
          <w:rStyle w:val="Emphasis"/>
          <w:i w:val="0"/>
        </w:rPr>
        <w:t xml:space="preserve"> Memorial Bursary.</w:t>
      </w:r>
    </w:p>
    <w:p w14:paraId="49AB0CE9" w14:textId="77777777" w:rsidR="00DA004A" w:rsidRPr="00DA004A" w:rsidRDefault="00DA004A" w:rsidP="00DA004A">
      <w:pPr>
        <w:spacing w:after="0"/>
        <w:rPr>
          <w:rStyle w:val="Emphasis"/>
          <w:i w:val="0"/>
        </w:rPr>
      </w:pPr>
      <w:proofErr w:type="spellStart"/>
      <w:r w:rsidRPr="00DA004A">
        <w:rPr>
          <w:rStyle w:val="Emphasis"/>
          <w:i w:val="0"/>
        </w:rPr>
        <w:t>Gwenyth</w:t>
      </w:r>
      <w:proofErr w:type="spellEnd"/>
      <w:r w:rsidRPr="00DA004A">
        <w:rPr>
          <w:rStyle w:val="Emphasis"/>
          <w:i w:val="0"/>
        </w:rPr>
        <w:t>, a strong advocate of the IES and education and research, bequeathed a sum of money</w:t>
      </w:r>
    </w:p>
    <w:p w14:paraId="421B14A5" w14:textId="77777777" w:rsidR="00DA004A" w:rsidRDefault="00DA004A" w:rsidP="00DA004A">
      <w:pPr>
        <w:spacing w:after="0"/>
        <w:rPr>
          <w:rStyle w:val="Emphasis"/>
          <w:i w:val="0"/>
        </w:rPr>
      </w:pPr>
      <w:r w:rsidRPr="00DA004A">
        <w:rPr>
          <w:rStyle w:val="Emphasis"/>
          <w:i w:val="0"/>
        </w:rPr>
        <w:t>to the IES from which the earnings support the bursar</w:t>
      </w:r>
      <w:r w:rsidR="00824C4E">
        <w:rPr>
          <w:rStyle w:val="Emphasis"/>
          <w:i w:val="0"/>
        </w:rPr>
        <w:t>y. See</w:t>
      </w:r>
      <w:r w:rsidRPr="00DA004A">
        <w:rPr>
          <w:rStyle w:val="Emphasis"/>
          <w:i w:val="0"/>
        </w:rPr>
        <w:t xml:space="preserve"> below for more information on </w:t>
      </w:r>
      <w:proofErr w:type="spellStart"/>
      <w:r w:rsidRPr="00DA004A">
        <w:rPr>
          <w:rStyle w:val="Emphasis"/>
          <w:i w:val="0"/>
        </w:rPr>
        <w:t>Gwenyth</w:t>
      </w:r>
      <w:proofErr w:type="spellEnd"/>
      <w:r w:rsidRPr="00DA004A">
        <w:rPr>
          <w:rStyle w:val="Emphasis"/>
          <w:i w:val="0"/>
        </w:rPr>
        <w:t xml:space="preserve"> </w:t>
      </w:r>
      <w:proofErr w:type="spellStart"/>
      <w:r w:rsidRPr="00DA004A">
        <w:rPr>
          <w:rStyle w:val="Emphasis"/>
          <w:i w:val="0"/>
        </w:rPr>
        <w:t>Ewens</w:t>
      </w:r>
      <w:proofErr w:type="spellEnd"/>
      <w:r>
        <w:rPr>
          <w:rStyle w:val="Emphasis"/>
          <w:i w:val="0"/>
        </w:rPr>
        <w:t>.</w:t>
      </w:r>
    </w:p>
    <w:p w14:paraId="23F3DB27" w14:textId="77777777" w:rsidR="00DA004A" w:rsidRPr="00DA004A" w:rsidRDefault="00DA004A" w:rsidP="00DA004A">
      <w:pPr>
        <w:spacing w:after="0" w:line="240" w:lineRule="auto"/>
        <w:rPr>
          <w:rStyle w:val="Emphasis"/>
          <w:i w:val="0"/>
        </w:rPr>
      </w:pPr>
    </w:p>
    <w:p w14:paraId="5D2B3F82" w14:textId="77777777" w:rsidR="00405605" w:rsidRDefault="006032C3" w:rsidP="00DA004A">
      <w:r w:rsidRPr="00DA004A">
        <w:rPr>
          <w:b/>
          <w:iCs/>
        </w:rPr>
        <w:t>T</w:t>
      </w:r>
      <w:r>
        <w:rPr>
          <w:b/>
        </w:rPr>
        <w:t>he B</w:t>
      </w:r>
      <w:r w:rsidR="009C2038" w:rsidRPr="00D5167C">
        <w:rPr>
          <w:b/>
        </w:rPr>
        <w:t xml:space="preserve">ursary </w:t>
      </w:r>
      <w:r w:rsidR="009F1C9E">
        <w:rPr>
          <w:b/>
        </w:rPr>
        <w:t>provides</w:t>
      </w:r>
      <w:r w:rsidR="009C2038" w:rsidRPr="00D5167C">
        <w:rPr>
          <w:b/>
        </w:rPr>
        <w:t xml:space="preserve"> a contribution towards </w:t>
      </w:r>
      <w:r w:rsidR="00D5167C">
        <w:rPr>
          <w:b/>
        </w:rPr>
        <w:t xml:space="preserve">the </w:t>
      </w:r>
      <w:r w:rsidR="009C2038" w:rsidRPr="00D5167C">
        <w:rPr>
          <w:b/>
        </w:rPr>
        <w:t xml:space="preserve">expenses </w:t>
      </w:r>
      <w:r w:rsidR="00D5167C">
        <w:rPr>
          <w:b/>
        </w:rPr>
        <w:t xml:space="preserve">of </w:t>
      </w:r>
      <w:r w:rsidR="009C2038" w:rsidRPr="00D5167C">
        <w:rPr>
          <w:b/>
        </w:rPr>
        <w:t>a member to participat</w:t>
      </w:r>
      <w:r>
        <w:rPr>
          <w:b/>
        </w:rPr>
        <w:t>e in an educational or research-</w:t>
      </w:r>
      <w:r w:rsidR="009C2038" w:rsidRPr="00D5167C">
        <w:rPr>
          <w:b/>
        </w:rPr>
        <w:t>based professional development activity in lighting</w:t>
      </w:r>
      <w:r w:rsidR="009C2038">
        <w:t xml:space="preserve">. </w:t>
      </w:r>
    </w:p>
    <w:tbl>
      <w:tblPr>
        <w:tblStyle w:val="TableGrid"/>
        <w:tblW w:w="0" w:type="auto"/>
        <w:tblLook w:val="04A0" w:firstRow="1" w:lastRow="0" w:firstColumn="1" w:lastColumn="0" w:noHBand="0" w:noVBand="1"/>
      </w:tblPr>
      <w:tblGrid>
        <w:gridCol w:w="1599"/>
        <w:gridCol w:w="7417"/>
      </w:tblGrid>
      <w:tr w:rsidR="00707276" w14:paraId="5D7ECC95" w14:textId="77777777" w:rsidTr="0013509C">
        <w:tc>
          <w:tcPr>
            <w:tcW w:w="1599" w:type="dxa"/>
          </w:tcPr>
          <w:p w14:paraId="5F303DFC" w14:textId="77777777" w:rsidR="00707276" w:rsidRPr="00D5167C" w:rsidRDefault="00491B18">
            <w:pPr>
              <w:rPr>
                <w:b/>
              </w:rPr>
            </w:pPr>
            <w:r w:rsidRPr="00D5167C">
              <w:rPr>
                <w:b/>
              </w:rPr>
              <w:t xml:space="preserve">Member </w:t>
            </w:r>
            <w:r w:rsidR="00707276" w:rsidRPr="00D5167C">
              <w:rPr>
                <w:b/>
              </w:rPr>
              <w:t>Eligibility:</w:t>
            </w:r>
          </w:p>
        </w:tc>
        <w:tc>
          <w:tcPr>
            <w:tcW w:w="7417" w:type="dxa"/>
          </w:tcPr>
          <w:p w14:paraId="58C6CBA1" w14:textId="77777777" w:rsidR="00707276" w:rsidRPr="00D5167C" w:rsidRDefault="00707276" w:rsidP="00EF055B">
            <w:pPr>
              <w:rPr>
                <w:b/>
              </w:rPr>
            </w:pPr>
            <w:r w:rsidRPr="00D5167C">
              <w:rPr>
                <w:b/>
              </w:rPr>
              <w:t xml:space="preserve">A </w:t>
            </w:r>
            <w:r w:rsidR="009C2038" w:rsidRPr="00D5167C">
              <w:rPr>
                <w:b/>
              </w:rPr>
              <w:t xml:space="preserve">financial </w:t>
            </w:r>
            <w:r w:rsidRPr="00D5167C">
              <w:rPr>
                <w:b/>
              </w:rPr>
              <w:t xml:space="preserve">member of the </w:t>
            </w:r>
            <w:r w:rsidR="001E576D">
              <w:rPr>
                <w:b/>
              </w:rPr>
              <w:t>IESANZ Ltd</w:t>
            </w:r>
            <w:r w:rsidRPr="00D5167C">
              <w:rPr>
                <w:b/>
              </w:rPr>
              <w:t xml:space="preserve"> </w:t>
            </w:r>
            <w:r w:rsidR="009C2038" w:rsidRPr="00D5167C">
              <w:rPr>
                <w:b/>
              </w:rPr>
              <w:t>The Lighting Society</w:t>
            </w:r>
            <w:r w:rsidR="00EF055B">
              <w:rPr>
                <w:b/>
              </w:rPr>
              <w:t>.</w:t>
            </w:r>
          </w:p>
        </w:tc>
      </w:tr>
      <w:tr w:rsidR="00707276" w14:paraId="2A48FE5A" w14:textId="77777777" w:rsidTr="0013509C">
        <w:tc>
          <w:tcPr>
            <w:tcW w:w="1599" w:type="dxa"/>
          </w:tcPr>
          <w:p w14:paraId="647B5BF3" w14:textId="77777777" w:rsidR="00707276" w:rsidRDefault="00656F8B">
            <w:r>
              <w:t xml:space="preserve">Bursary </w:t>
            </w:r>
            <w:r w:rsidR="006032C3">
              <w:t>amount</w:t>
            </w:r>
            <w:r w:rsidR="00707276">
              <w:t>:</w:t>
            </w:r>
          </w:p>
        </w:tc>
        <w:tc>
          <w:tcPr>
            <w:tcW w:w="7417" w:type="dxa"/>
          </w:tcPr>
          <w:p w14:paraId="6B8361BA" w14:textId="77777777" w:rsidR="00707276" w:rsidRDefault="00342FCD">
            <w:r>
              <w:t xml:space="preserve">Maximum of </w:t>
            </w:r>
            <w:r w:rsidR="009F1C9E">
              <w:t>$2,000</w:t>
            </w:r>
            <w:r>
              <w:t xml:space="preserve"> (towards expenses)</w:t>
            </w:r>
          </w:p>
        </w:tc>
      </w:tr>
      <w:tr w:rsidR="00F10D97" w14:paraId="3D369B9C" w14:textId="77777777" w:rsidTr="0013509C">
        <w:tc>
          <w:tcPr>
            <w:tcW w:w="1599" w:type="dxa"/>
          </w:tcPr>
          <w:p w14:paraId="4D529E2F" w14:textId="77777777" w:rsidR="00F10D97" w:rsidRDefault="00F10D97" w:rsidP="001E576D">
            <w:r>
              <w:t>Eligible activit</w:t>
            </w:r>
            <w:r w:rsidR="001E576D">
              <w:t>ies</w:t>
            </w:r>
            <w:r>
              <w:t>:</w:t>
            </w:r>
          </w:p>
        </w:tc>
        <w:tc>
          <w:tcPr>
            <w:tcW w:w="7417" w:type="dxa"/>
          </w:tcPr>
          <w:p w14:paraId="758B4298" w14:textId="77777777" w:rsidR="00F10D97" w:rsidRDefault="00F10D97" w:rsidP="0002501D">
            <w:r>
              <w:t>Any professional development activity (educational or research) which will further the understanding and expertise in lighting of the recipient.</w:t>
            </w:r>
          </w:p>
          <w:p w14:paraId="7A86B308" w14:textId="77777777" w:rsidR="00F10D97" w:rsidRDefault="00F10D97" w:rsidP="0002501D"/>
          <w:p w14:paraId="1C8F36D0" w14:textId="77777777" w:rsidR="00F10D97" w:rsidRDefault="006032C3" w:rsidP="001E576D">
            <w:r>
              <w:t>A</w:t>
            </w:r>
            <w:r w:rsidR="00F10D97">
              <w:t>ctivit</w:t>
            </w:r>
            <w:r w:rsidR="001E576D">
              <w:t>ies</w:t>
            </w:r>
            <w:r w:rsidR="00F10D97">
              <w:t xml:space="preserve"> may include education institution courses, professional development seminars, study tours (overseas and/or locally) and the like.</w:t>
            </w:r>
          </w:p>
        </w:tc>
      </w:tr>
      <w:tr w:rsidR="00F10D97" w14:paraId="2CB98849" w14:textId="77777777" w:rsidTr="0013509C">
        <w:tc>
          <w:tcPr>
            <w:tcW w:w="1599" w:type="dxa"/>
          </w:tcPr>
          <w:p w14:paraId="72FC8589" w14:textId="77777777" w:rsidR="00F10D97" w:rsidRDefault="006032C3">
            <w:r>
              <w:t>Call for s</w:t>
            </w:r>
            <w:r w:rsidR="00F10D97">
              <w:t>ubmissions</w:t>
            </w:r>
          </w:p>
        </w:tc>
        <w:tc>
          <w:tcPr>
            <w:tcW w:w="7417" w:type="dxa"/>
          </w:tcPr>
          <w:p w14:paraId="5C9BDF1D" w14:textId="4935D3DB" w:rsidR="00F10D97" w:rsidRDefault="006032C3">
            <w:r>
              <w:t>Submissions o</w:t>
            </w:r>
            <w:r w:rsidR="00656F8B">
              <w:t>pen:</w:t>
            </w:r>
            <w:r w:rsidR="004B4A81">
              <w:t xml:space="preserve"> </w:t>
            </w:r>
            <w:r w:rsidR="00E75D1A">
              <w:t xml:space="preserve">1 July </w:t>
            </w:r>
            <w:r w:rsidR="00DD7BF1">
              <w:t>201</w:t>
            </w:r>
            <w:r w:rsidR="008D3F21">
              <w:t>9</w:t>
            </w:r>
          </w:p>
          <w:p w14:paraId="62CB4F99" w14:textId="77777777" w:rsidR="00F10D97" w:rsidRDefault="00F10D97"/>
        </w:tc>
      </w:tr>
      <w:tr w:rsidR="00F10D97" w14:paraId="769AF538" w14:textId="77777777" w:rsidTr="0013509C">
        <w:tc>
          <w:tcPr>
            <w:tcW w:w="1599" w:type="dxa"/>
          </w:tcPr>
          <w:p w14:paraId="64AE1AFB" w14:textId="77777777" w:rsidR="00F10D97" w:rsidRPr="00D5167C" w:rsidRDefault="00F10D97">
            <w:pPr>
              <w:rPr>
                <w:b/>
              </w:rPr>
            </w:pPr>
            <w:r w:rsidRPr="00D5167C">
              <w:rPr>
                <w:b/>
              </w:rPr>
              <w:t>Closing Date</w:t>
            </w:r>
          </w:p>
        </w:tc>
        <w:tc>
          <w:tcPr>
            <w:tcW w:w="7417" w:type="dxa"/>
          </w:tcPr>
          <w:p w14:paraId="064DED72" w14:textId="6AF3F2F0" w:rsidR="00F10D97" w:rsidRPr="008D3F21" w:rsidRDefault="008D3F21" w:rsidP="00E75D1A">
            <w:pPr>
              <w:rPr>
                <w:b/>
              </w:rPr>
            </w:pPr>
            <w:r w:rsidRPr="008D3F21">
              <w:rPr>
                <w:b/>
              </w:rPr>
              <w:t>30 November</w:t>
            </w:r>
            <w:r w:rsidR="00DD7BF1" w:rsidRPr="008D3F21">
              <w:rPr>
                <w:b/>
              </w:rPr>
              <w:t xml:space="preserve"> 201</w:t>
            </w:r>
            <w:r w:rsidRPr="008D3F21">
              <w:rPr>
                <w:b/>
              </w:rPr>
              <w:t>9</w:t>
            </w:r>
            <w:r w:rsidR="001E576D" w:rsidRPr="008D3F21">
              <w:rPr>
                <w:b/>
              </w:rPr>
              <w:t xml:space="preserve"> (midnight AES</w:t>
            </w:r>
            <w:r w:rsidR="00656F8B" w:rsidRPr="008D3F21">
              <w:rPr>
                <w:b/>
              </w:rPr>
              <w:t>T)</w:t>
            </w:r>
          </w:p>
        </w:tc>
      </w:tr>
      <w:tr w:rsidR="00F10D97" w14:paraId="5982995E" w14:textId="77777777" w:rsidTr="0013509C">
        <w:tc>
          <w:tcPr>
            <w:tcW w:w="1599" w:type="dxa"/>
          </w:tcPr>
          <w:p w14:paraId="31BE5823" w14:textId="77777777" w:rsidR="00F10D97" w:rsidRDefault="00F10D97">
            <w:r>
              <w:t>Announcement of recipient</w:t>
            </w:r>
          </w:p>
        </w:tc>
        <w:tc>
          <w:tcPr>
            <w:tcW w:w="7417" w:type="dxa"/>
          </w:tcPr>
          <w:p w14:paraId="6E47F4AE" w14:textId="566518E5" w:rsidR="00F10D97" w:rsidRDefault="008D3F21" w:rsidP="00491B18">
            <w:r>
              <w:t>12 December 2019</w:t>
            </w:r>
          </w:p>
        </w:tc>
      </w:tr>
      <w:tr w:rsidR="00F10D97" w14:paraId="0B66D326" w14:textId="77777777" w:rsidTr="0013509C">
        <w:tc>
          <w:tcPr>
            <w:tcW w:w="1599" w:type="dxa"/>
          </w:tcPr>
          <w:p w14:paraId="02428331" w14:textId="77777777" w:rsidR="00F10D97" w:rsidRDefault="00656F8B" w:rsidP="00C30FEB">
            <w:r>
              <w:t>Disbursement</w:t>
            </w:r>
          </w:p>
        </w:tc>
        <w:tc>
          <w:tcPr>
            <w:tcW w:w="7417" w:type="dxa"/>
          </w:tcPr>
          <w:p w14:paraId="4CAFB2AF" w14:textId="1518D7D9" w:rsidR="00F10D97" w:rsidRPr="008D3F21" w:rsidRDefault="00DD7BF1" w:rsidP="00DA004A">
            <w:r w:rsidRPr="008D3F21">
              <w:t>Within the calendar year of 20</w:t>
            </w:r>
            <w:r w:rsidR="008D3F21" w:rsidRPr="008D3F21">
              <w:t>20</w:t>
            </w:r>
            <w:r w:rsidR="006F491D" w:rsidRPr="008D3F21">
              <w:t xml:space="preserve"> (on provision of an expense claim)</w:t>
            </w:r>
          </w:p>
        </w:tc>
      </w:tr>
      <w:tr w:rsidR="00656F8B" w14:paraId="646B95E8" w14:textId="77777777" w:rsidTr="0013509C">
        <w:tc>
          <w:tcPr>
            <w:tcW w:w="1599" w:type="dxa"/>
          </w:tcPr>
          <w:p w14:paraId="02BF0EAF" w14:textId="77777777" w:rsidR="00656F8B" w:rsidRDefault="009F1C9E" w:rsidP="00C30FEB">
            <w:r>
              <w:t>Completion</w:t>
            </w:r>
            <w:r w:rsidR="00656F8B">
              <w:t xml:space="preserve"> of activity</w:t>
            </w:r>
          </w:p>
        </w:tc>
        <w:tc>
          <w:tcPr>
            <w:tcW w:w="7417" w:type="dxa"/>
          </w:tcPr>
          <w:p w14:paraId="76A2F3B0" w14:textId="0014A5F5" w:rsidR="00656F8B" w:rsidRPr="008D3F21" w:rsidRDefault="006032C3" w:rsidP="00DD7BF1">
            <w:r w:rsidRPr="008D3F21">
              <w:t xml:space="preserve">No later than </w:t>
            </w:r>
            <w:r w:rsidR="00DA004A" w:rsidRPr="008D3F21">
              <w:t>30 June 20</w:t>
            </w:r>
            <w:r w:rsidR="008D3F21" w:rsidRPr="008D3F21">
              <w:t>20</w:t>
            </w:r>
          </w:p>
        </w:tc>
      </w:tr>
    </w:tbl>
    <w:p w14:paraId="0E62D680" w14:textId="77777777" w:rsidR="0013509C" w:rsidRDefault="0013509C">
      <w:r>
        <w:br w:type="page"/>
      </w:r>
      <w:bookmarkStart w:id="0" w:name="_GoBack"/>
      <w:bookmarkEnd w:id="0"/>
    </w:p>
    <w:tbl>
      <w:tblPr>
        <w:tblStyle w:val="TableGrid"/>
        <w:tblW w:w="0" w:type="auto"/>
        <w:tblLook w:val="04A0" w:firstRow="1" w:lastRow="0" w:firstColumn="1" w:lastColumn="0" w:noHBand="0" w:noVBand="1"/>
      </w:tblPr>
      <w:tblGrid>
        <w:gridCol w:w="1599"/>
        <w:gridCol w:w="7417"/>
      </w:tblGrid>
      <w:tr w:rsidR="00F10D97" w14:paraId="74047806" w14:textId="77777777" w:rsidTr="0013509C">
        <w:tc>
          <w:tcPr>
            <w:tcW w:w="1599" w:type="dxa"/>
          </w:tcPr>
          <w:p w14:paraId="00CBB197" w14:textId="77777777" w:rsidR="00F10D97" w:rsidRDefault="00F10D97" w:rsidP="00C30FEB">
            <w:r>
              <w:lastRenderedPageBreak/>
              <w:t>Conditions</w:t>
            </w:r>
          </w:p>
        </w:tc>
        <w:tc>
          <w:tcPr>
            <w:tcW w:w="7417" w:type="dxa"/>
          </w:tcPr>
          <w:p w14:paraId="21688D1A" w14:textId="77777777" w:rsidR="00F10D97" w:rsidRDefault="00F10D97" w:rsidP="00C30FEB">
            <w:r>
              <w:t xml:space="preserve">Recipient must provide </w:t>
            </w:r>
            <w:r w:rsidR="006032C3">
              <w:t xml:space="preserve">an </w:t>
            </w:r>
            <w:r>
              <w:t>undertaking to:</w:t>
            </w:r>
          </w:p>
          <w:p w14:paraId="42F9EE78" w14:textId="77777777" w:rsidR="00F10D97" w:rsidRDefault="009F1C9E" w:rsidP="00D5167C">
            <w:pPr>
              <w:pStyle w:val="ListParagraph"/>
            </w:pPr>
            <w:r>
              <w:t>Prepare an article (m</w:t>
            </w:r>
            <w:r w:rsidR="00F10D97">
              <w:t>inimum of 750 words) for the Lighting Magazine to be submitted t</w:t>
            </w:r>
            <w:r w:rsidR="006032C3">
              <w:t xml:space="preserve">o the Editor within 3 months of </w:t>
            </w:r>
            <w:r w:rsidR="00F10D97">
              <w:t>completion of the funded activity.</w:t>
            </w:r>
          </w:p>
          <w:p w14:paraId="093E56A3" w14:textId="77777777" w:rsidR="00F10D97" w:rsidRDefault="00F10D97" w:rsidP="00D5167C">
            <w:pPr>
              <w:pStyle w:val="ListParagraph"/>
            </w:pPr>
            <w:r>
              <w:t>Present a technical paper to the recipient’s local Chapter as part of the scheduled technical talk program within 6 months of completion of the funded activity</w:t>
            </w:r>
            <w:r w:rsidR="00E75D1A">
              <w:t>.</w:t>
            </w:r>
          </w:p>
          <w:p w14:paraId="378E6FB3" w14:textId="77777777" w:rsidR="006F491D" w:rsidRDefault="00F10D97" w:rsidP="00D5167C">
            <w:pPr>
              <w:pStyle w:val="ListParagraph"/>
            </w:pPr>
            <w:r>
              <w:t>Be available to present the same technical paper to one other Chapter’s scheduled technical talk program within 12 months of completion of the funded activity. (</w:t>
            </w:r>
            <w:r w:rsidR="00E75D1A">
              <w:t xml:space="preserve">economy class </w:t>
            </w:r>
            <w:r>
              <w:t xml:space="preserve">travel and </w:t>
            </w:r>
            <w:r w:rsidR="00E75D1A">
              <w:t xml:space="preserve">reasonable </w:t>
            </w:r>
            <w:r>
              <w:t xml:space="preserve">accommodation expenses </w:t>
            </w:r>
            <w:r w:rsidR="00656F8B">
              <w:t xml:space="preserve">will be covered by </w:t>
            </w:r>
            <w:r w:rsidR="00EF055B">
              <w:t>IESANZ Ltd</w:t>
            </w:r>
            <w:r w:rsidR="009F1C9E">
              <w:t>.</w:t>
            </w:r>
            <w:r w:rsidR="00656F8B">
              <w:t>)</w:t>
            </w:r>
          </w:p>
          <w:p w14:paraId="6E60009D" w14:textId="77777777" w:rsidR="00EF055B" w:rsidRDefault="00EF055B">
            <w:pPr>
              <w:pStyle w:val="ListParagraph"/>
            </w:pPr>
            <w:r>
              <w:t>Be available to present the same technical paper at the next IESANZ Ltd Conference. (</w:t>
            </w:r>
            <w:r w:rsidR="00E75D1A">
              <w:t xml:space="preserve">economy class </w:t>
            </w:r>
            <w:r>
              <w:t>travel and accommodation expenses will be covered by IESANZ Ltd.)</w:t>
            </w:r>
          </w:p>
        </w:tc>
      </w:tr>
      <w:tr w:rsidR="006F491D" w14:paraId="154BE4A3" w14:textId="77777777" w:rsidTr="0013509C">
        <w:tc>
          <w:tcPr>
            <w:tcW w:w="1599" w:type="dxa"/>
          </w:tcPr>
          <w:p w14:paraId="6A7D7B15" w14:textId="77777777" w:rsidR="006F491D" w:rsidRDefault="006F491D" w:rsidP="001E576D">
            <w:r>
              <w:t>Ineligible activit</w:t>
            </w:r>
            <w:r w:rsidR="001E576D">
              <w:t>ies</w:t>
            </w:r>
          </w:p>
        </w:tc>
        <w:tc>
          <w:tcPr>
            <w:tcW w:w="7417" w:type="dxa"/>
          </w:tcPr>
          <w:p w14:paraId="6AE7CD09" w14:textId="77777777" w:rsidR="006F491D" w:rsidRDefault="006F491D" w:rsidP="00D5167C">
            <w:pPr>
              <w:pStyle w:val="ListParagraph"/>
            </w:pPr>
            <w:r>
              <w:t>Expenses associated with visiting employer facilit</w:t>
            </w:r>
            <w:r w:rsidR="001E576D">
              <w:t>ies</w:t>
            </w:r>
            <w:r w:rsidR="003D035D">
              <w:t xml:space="preserve"> or participating in employer-</w:t>
            </w:r>
            <w:r>
              <w:t>based activit</w:t>
            </w:r>
            <w:r w:rsidR="001E576D">
              <w:t>ies</w:t>
            </w:r>
          </w:p>
          <w:p w14:paraId="59B1CE80" w14:textId="77777777" w:rsidR="006F491D" w:rsidRDefault="006F491D" w:rsidP="00D5167C">
            <w:pPr>
              <w:pStyle w:val="ListParagraph"/>
            </w:pPr>
            <w:r>
              <w:t>Purchase of materials (e</w:t>
            </w:r>
            <w:r w:rsidR="00EF055B">
              <w:t>.</w:t>
            </w:r>
            <w:r>
              <w:t>g</w:t>
            </w:r>
            <w:r w:rsidR="00EF055B">
              <w:t>.</w:t>
            </w:r>
            <w:r>
              <w:t xml:space="preserve"> </w:t>
            </w:r>
            <w:r w:rsidR="00D5167C">
              <w:t>software, hardware, s</w:t>
            </w:r>
            <w:r>
              <w:t>tandards, reference books</w:t>
            </w:r>
            <w:r w:rsidR="00EF055B">
              <w:t>,</w:t>
            </w:r>
            <w:r>
              <w:t xml:space="preserve"> etc</w:t>
            </w:r>
            <w:r w:rsidR="00EF055B">
              <w:t>.</w:t>
            </w:r>
            <w:r>
              <w:t>)</w:t>
            </w:r>
          </w:p>
        </w:tc>
      </w:tr>
      <w:tr w:rsidR="00FB6F09" w14:paraId="711BDC54" w14:textId="77777777" w:rsidTr="0013509C">
        <w:tc>
          <w:tcPr>
            <w:tcW w:w="1599" w:type="dxa"/>
          </w:tcPr>
          <w:p w14:paraId="1B8EF66B" w14:textId="77777777" w:rsidR="00FB6F09" w:rsidRDefault="00A220A7" w:rsidP="00C30FEB">
            <w:r>
              <w:t>Waiver</w:t>
            </w:r>
          </w:p>
        </w:tc>
        <w:tc>
          <w:tcPr>
            <w:tcW w:w="7417" w:type="dxa"/>
          </w:tcPr>
          <w:p w14:paraId="569018FF" w14:textId="77777777" w:rsidR="00FB6F09" w:rsidRDefault="001E576D" w:rsidP="001E576D">
            <w:r>
              <w:t>IESANZ Ltd,</w:t>
            </w:r>
            <w:r w:rsidR="00FB6F09">
              <w:t xml:space="preserve"> The Lightin</w:t>
            </w:r>
            <w:r w:rsidR="003D035D">
              <w:t xml:space="preserve">g Society reserves the right </w:t>
            </w:r>
            <w:r w:rsidR="00FB6F09">
              <w:t xml:space="preserve">not </w:t>
            </w:r>
            <w:r w:rsidR="003D035D">
              <w:t xml:space="preserve">to </w:t>
            </w:r>
            <w:r w:rsidR="00FB6F09">
              <w:t xml:space="preserve">award </w:t>
            </w:r>
            <w:r w:rsidR="00A220A7">
              <w:t>a</w:t>
            </w:r>
            <w:r w:rsidR="00FB6F09">
              <w:t xml:space="preserve"> Bu</w:t>
            </w:r>
            <w:r w:rsidR="00A220A7">
              <w:t>rsary if the selection panel does not see fit to re</w:t>
            </w:r>
            <w:r w:rsidR="003D035D">
              <w:t>commend a successful applicant</w:t>
            </w:r>
            <w:r w:rsidR="00A220A7">
              <w:t xml:space="preserve"> to the Board of </w:t>
            </w:r>
            <w:r>
              <w:t>IESANZ Ltd</w:t>
            </w:r>
            <w:r w:rsidR="00EF055B">
              <w:t>.</w:t>
            </w:r>
          </w:p>
        </w:tc>
      </w:tr>
      <w:tr w:rsidR="00126F69" w14:paraId="2CB16AFA" w14:textId="77777777" w:rsidTr="0013509C">
        <w:tc>
          <w:tcPr>
            <w:tcW w:w="1599" w:type="dxa"/>
          </w:tcPr>
          <w:p w14:paraId="54E07FB8" w14:textId="77777777" w:rsidR="00126F69" w:rsidRDefault="009A5245" w:rsidP="00E42A80">
            <w:r>
              <w:t xml:space="preserve">Further </w:t>
            </w:r>
            <w:r w:rsidR="00E42A80">
              <w:t>questions</w:t>
            </w:r>
          </w:p>
        </w:tc>
        <w:tc>
          <w:tcPr>
            <w:tcW w:w="7417" w:type="dxa"/>
          </w:tcPr>
          <w:p w14:paraId="4390A3C3" w14:textId="77777777" w:rsidR="00126F69" w:rsidRDefault="009A5245" w:rsidP="00A220A7">
            <w:r>
              <w:t>Please email</w:t>
            </w:r>
            <w:r w:rsidR="00EF055B">
              <w:t>:</w:t>
            </w:r>
            <w:r>
              <w:t xml:space="preserve"> </w:t>
            </w:r>
            <w:r w:rsidR="00F368C9">
              <w:tab/>
            </w:r>
            <w:hyperlink r:id="rId7" w:history="1">
              <w:r w:rsidR="001E576D" w:rsidRPr="00BD7171">
                <w:rPr>
                  <w:rStyle w:val="Hyperlink"/>
                </w:rPr>
                <w:t>secretariat@iesanz.org</w:t>
              </w:r>
            </w:hyperlink>
          </w:p>
          <w:p w14:paraId="1EE75B97" w14:textId="77777777" w:rsidR="009A5245" w:rsidRDefault="009A5245" w:rsidP="00A220A7"/>
        </w:tc>
      </w:tr>
      <w:tr w:rsidR="009A5245" w14:paraId="2D5369BB" w14:textId="77777777" w:rsidTr="0013509C">
        <w:tc>
          <w:tcPr>
            <w:tcW w:w="1599" w:type="dxa"/>
          </w:tcPr>
          <w:p w14:paraId="2D61B85C" w14:textId="77777777" w:rsidR="009A5245" w:rsidRDefault="009A5245" w:rsidP="009A5245">
            <w:r>
              <w:t>Submission</w:t>
            </w:r>
          </w:p>
        </w:tc>
        <w:tc>
          <w:tcPr>
            <w:tcW w:w="7417" w:type="dxa"/>
          </w:tcPr>
          <w:p w14:paraId="18EA7C76" w14:textId="77777777" w:rsidR="001C1184" w:rsidRDefault="009A5245" w:rsidP="001E576D">
            <w:pPr>
              <w:rPr>
                <w:rStyle w:val="Hyperlink"/>
              </w:rPr>
            </w:pPr>
            <w:r w:rsidRPr="007E1A26">
              <w:t xml:space="preserve">Email only: </w:t>
            </w:r>
            <w:r w:rsidR="00F368C9" w:rsidRPr="007E1A26">
              <w:tab/>
            </w:r>
            <w:hyperlink r:id="rId8" w:history="1">
              <w:r w:rsidR="001E576D" w:rsidRPr="00BD7171">
                <w:rPr>
                  <w:rStyle w:val="Hyperlink"/>
                </w:rPr>
                <w:t>secretariat@iesanz.org</w:t>
              </w:r>
            </w:hyperlink>
          </w:p>
          <w:p w14:paraId="76B588F1" w14:textId="77777777" w:rsidR="0013509C" w:rsidRDefault="0013509C" w:rsidP="001E576D"/>
        </w:tc>
      </w:tr>
    </w:tbl>
    <w:p w14:paraId="740BFF3A" w14:textId="77777777" w:rsidR="0013509C" w:rsidRDefault="0013509C">
      <w:r>
        <w:br w:type="page"/>
      </w:r>
    </w:p>
    <w:tbl>
      <w:tblPr>
        <w:tblStyle w:val="TableGrid"/>
        <w:tblW w:w="0" w:type="auto"/>
        <w:tblLook w:val="04A0" w:firstRow="1" w:lastRow="0" w:firstColumn="1" w:lastColumn="0" w:noHBand="0" w:noVBand="1"/>
      </w:tblPr>
      <w:tblGrid>
        <w:gridCol w:w="1580"/>
        <w:gridCol w:w="7436"/>
      </w:tblGrid>
      <w:tr w:rsidR="00153F05" w14:paraId="55519D0A" w14:textId="77777777" w:rsidTr="0013509C">
        <w:tc>
          <w:tcPr>
            <w:tcW w:w="1580" w:type="dxa"/>
          </w:tcPr>
          <w:p w14:paraId="0B4B3B2D" w14:textId="77777777" w:rsidR="00153F05" w:rsidRDefault="00153F05" w:rsidP="00EE6ADE">
            <w:r>
              <w:lastRenderedPageBreak/>
              <w:t>Name</w:t>
            </w:r>
            <w:r w:rsidR="00EF055B">
              <w:t>:</w:t>
            </w:r>
          </w:p>
        </w:tc>
        <w:tc>
          <w:tcPr>
            <w:tcW w:w="7436" w:type="dxa"/>
          </w:tcPr>
          <w:p w14:paraId="6029DE6D" w14:textId="77777777" w:rsidR="00153F05" w:rsidRDefault="00153F05" w:rsidP="00EE6ADE"/>
          <w:p w14:paraId="4146D476" w14:textId="77777777" w:rsidR="00EF055B" w:rsidRDefault="00EF055B" w:rsidP="00EE6ADE"/>
        </w:tc>
      </w:tr>
      <w:tr w:rsidR="00153F05" w14:paraId="259C680F" w14:textId="77777777" w:rsidTr="0013509C">
        <w:tc>
          <w:tcPr>
            <w:tcW w:w="1580" w:type="dxa"/>
          </w:tcPr>
          <w:p w14:paraId="3702713C" w14:textId="77777777" w:rsidR="00153F05" w:rsidRDefault="00153F05" w:rsidP="00EE6ADE">
            <w:r>
              <w:t>Home Address</w:t>
            </w:r>
            <w:r w:rsidR="00EF055B">
              <w:t>:</w:t>
            </w:r>
          </w:p>
        </w:tc>
        <w:tc>
          <w:tcPr>
            <w:tcW w:w="7436" w:type="dxa"/>
          </w:tcPr>
          <w:p w14:paraId="73BED426" w14:textId="77777777" w:rsidR="00153F05" w:rsidRDefault="00153F05" w:rsidP="00EE6ADE"/>
          <w:p w14:paraId="7ADDAF56" w14:textId="77777777" w:rsidR="009A5245" w:rsidRDefault="009A5245" w:rsidP="00EE6ADE"/>
        </w:tc>
      </w:tr>
      <w:tr w:rsidR="00153F05" w14:paraId="3BC4DEF0" w14:textId="77777777" w:rsidTr="0013509C">
        <w:tc>
          <w:tcPr>
            <w:tcW w:w="1580" w:type="dxa"/>
          </w:tcPr>
          <w:p w14:paraId="7C50DDFD" w14:textId="77777777" w:rsidR="00153F05" w:rsidRDefault="00153F05" w:rsidP="00EE6ADE">
            <w:r>
              <w:t>Phone</w:t>
            </w:r>
            <w:r w:rsidR="00EF055B">
              <w:t>:</w:t>
            </w:r>
          </w:p>
        </w:tc>
        <w:tc>
          <w:tcPr>
            <w:tcW w:w="7436" w:type="dxa"/>
          </w:tcPr>
          <w:p w14:paraId="45612B3F" w14:textId="77777777" w:rsidR="00153F05" w:rsidRDefault="00153F05" w:rsidP="00EE6ADE"/>
        </w:tc>
      </w:tr>
      <w:tr w:rsidR="00153F05" w14:paraId="58FFFF09" w14:textId="77777777" w:rsidTr="0013509C">
        <w:tc>
          <w:tcPr>
            <w:tcW w:w="1580" w:type="dxa"/>
          </w:tcPr>
          <w:p w14:paraId="0AA968DE" w14:textId="77777777" w:rsidR="00153F05" w:rsidRDefault="00153F05" w:rsidP="00EE6ADE">
            <w:r>
              <w:t>Email</w:t>
            </w:r>
            <w:r w:rsidR="00EF055B">
              <w:t>:</w:t>
            </w:r>
          </w:p>
        </w:tc>
        <w:tc>
          <w:tcPr>
            <w:tcW w:w="7436" w:type="dxa"/>
          </w:tcPr>
          <w:p w14:paraId="2028D1A9" w14:textId="77777777" w:rsidR="00153F05" w:rsidRDefault="00153F05" w:rsidP="00EE6ADE"/>
        </w:tc>
      </w:tr>
    </w:tbl>
    <w:p w14:paraId="6FE7D069" w14:textId="77777777" w:rsidR="00DF7251" w:rsidRDefault="00DF7251"/>
    <w:tbl>
      <w:tblPr>
        <w:tblStyle w:val="TableGrid"/>
        <w:tblW w:w="0" w:type="auto"/>
        <w:tblLook w:val="04A0" w:firstRow="1" w:lastRow="0" w:firstColumn="1" w:lastColumn="0" w:noHBand="0" w:noVBand="1"/>
      </w:tblPr>
      <w:tblGrid>
        <w:gridCol w:w="1589"/>
        <w:gridCol w:w="7427"/>
      </w:tblGrid>
      <w:tr w:rsidR="00DF7251" w14:paraId="69EAE551" w14:textId="77777777" w:rsidTr="004356A2">
        <w:tc>
          <w:tcPr>
            <w:tcW w:w="9242" w:type="dxa"/>
            <w:gridSpan w:val="2"/>
          </w:tcPr>
          <w:p w14:paraId="2B334BAD" w14:textId="77777777" w:rsidR="00DF7251" w:rsidRDefault="00E42A80" w:rsidP="00EE6ADE">
            <w:r>
              <w:t>Title of</w:t>
            </w:r>
            <w:r w:rsidR="00DF7251">
              <w:t xml:space="preserve"> </w:t>
            </w:r>
            <w:r w:rsidR="00C713F0">
              <w:t>proposed a</w:t>
            </w:r>
            <w:r w:rsidR="00DF7251">
              <w:t>ctivity</w:t>
            </w:r>
            <w:r w:rsidR="00EF055B">
              <w:t>:</w:t>
            </w:r>
          </w:p>
        </w:tc>
      </w:tr>
      <w:tr w:rsidR="00DF7251" w14:paraId="637E8084" w14:textId="77777777" w:rsidTr="004356A2">
        <w:tc>
          <w:tcPr>
            <w:tcW w:w="9242" w:type="dxa"/>
            <w:gridSpan w:val="2"/>
          </w:tcPr>
          <w:p w14:paraId="736C3A7A" w14:textId="77777777" w:rsidR="00DF7251" w:rsidRDefault="00DF7251" w:rsidP="00EE6ADE"/>
          <w:p w14:paraId="1A0C434C" w14:textId="77777777" w:rsidR="009A5245" w:rsidRDefault="009A5245" w:rsidP="00EE6ADE"/>
        </w:tc>
      </w:tr>
      <w:tr w:rsidR="00DF7251" w14:paraId="5372FB40" w14:textId="77777777" w:rsidTr="00504E1E">
        <w:tc>
          <w:tcPr>
            <w:tcW w:w="9242" w:type="dxa"/>
            <w:gridSpan w:val="2"/>
          </w:tcPr>
          <w:p w14:paraId="071533DB" w14:textId="77777777" w:rsidR="00DF7251" w:rsidRDefault="00DF7251" w:rsidP="00FB6F09">
            <w:r>
              <w:t>Provide details of proposed activity with timeline</w:t>
            </w:r>
            <w:r w:rsidR="00D5167C">
              <w:t xml:space="preserve"> (provide as much information as possible to assist the selection panel in favourably assessing your application)</w:t>
            </w:r>
            <w:r w:rsidR="00EF055B">
              <w:t>:</w:t>
            </w:r>
          </w:p>
        </w:tc>
      </w:tr>
      <w:tr w:rsidR="00DF7251" w14:paraId="1BFF2E57" w14:textId="77777777" w:rsidTr="00504E1E">
        <w:tc>
          <w:tcPr>
            <w:tcW w:w="9242" w:type="dxa"/>
            <w:gridSpan w:val="2"/>
          </w:tcPr>
          <w:p w14:paraId="7D1DA3E8" w14:textId="77777777" w:rsidR="00DF7251" w:rsidRDefault="00DF7251" w:rsidP="00EE6ADE"/>
          <w:p w14:paraId="7525FD6E" w14:textId="77777777" w:rsidR="009A5245" w:rsidRDefault="009A5245" w:rsidP="00EE6ADE"/>
          <w:p w14:paraId="4D78526E" w14:textId="77777777" w:rsidR="00DF7251" w:rsidRDefault="00DF7251" w:rsidP="00EE6ADE"/>
        </w:tc>
      </w:tr>
      <w:tr w:rsidR="00DF7251" w14:paraId="77EE1C9E" w14:textId="77777777" w:rsidTr="009673E0">
        <w:tc>
          <w:tcPr>
            <w:tcW w:w="9242" w:type="dxa"/>
            <w:gridSpan w:val="2"/>
          </w:tcPr>
          <w:p w14:paraId="27A1740F" w14:textId="77777777" w:rsidR="00DF7251" w:rsidRDefault="00DF7251" w:rsidP="00FB6F09">
            <w:r>
              <w:t>Provide a detailed estimate of costs</w:t>
            </w:r>
            <w:r w:rsidR="00EF055B">
              <w:t>:</w:t>
            </w:r>
          </w:p>
        </w:tc>
      </w:tr>
      <w:tr w:rsidR="00DF7251" w14:paraId="355B2503" w14:textId="77777777" w:rsidTr="009673E0">
        <w:tc>
          <w:tcPr>
            <w:tcW w:w="9242" w:type="dxa"/>
            <w:gridSpan w:val="2"/>
          </w:tcPr>
          <w:p w14:paraId="04CCC9F2" w14:textId="77777777" w:rsidR="00DF7251" w:rsidRDefault="00DF7251" w:rsidP="00EE6ADE"/>
          <w:p w14:paraId="3F6BF5CC" w14:textId="77777777" w:rsidR="00DF7251" w:rsidRDefault="00DF7251" w:rsidP="00EE6ADE"/>
          <w:p w14:paraId="2BC16562" w14:textId="77777777" w:rsidR="00DF7251" w:rsidRDefault="00DF7251" w:rsidP="00EE6ADE"/>
        </w:tc>
      </w:tr>
      <w:tr w:rsidR="00DF7251" w14:paraId="313F8FDE" w14:textId="77777777" w:rsidTr="0055691B">
        <w:tc>
          <w:tcPr>
            <w:tcW w:w="9242" w:type="dxa"/>
            <w:gridSpan w:val="2"/>
          </w:tcPr>
          <w:p w14:paraId="04A7B7B7" w14:textId="77777777" w:rsidR="00DF7251" w:rsidRDefault="00FB6F09" w:rsidP="00FB6F09">
            <w:r>
              <w:t>D</w:t>
            </w:r>
            <w:r w:rsidR="00DF7251">
              <w:t xml:space="preserve">escribe how such an </w:t>
            </w:r>
            <w:r w:rsidR="000603C0">
              <w:t xml:space="preserve">activity will benefit </w:t>
            </w:r>
            <w:r w:rsidR="00DF7251">
              <w:t>your professional development</w:t>
            </w:r>
            <w:r w:rsidR="006F491D">
              <w:t xml:space="preserve"> (minimum 150 words)</w:t>
            </w:r>
            <w:r w:rsidR="00EF055B">
              <w:t>:</w:t>
            </w:r>
          </w:p>
        </w:tc>
      </w:tr>
      <w:tr w:rsidR="00DF7251" w14:paraId="68C0C0F9" w14:textId="77777777" w:rsidTr="0055691B">
        <w:tc>
          <w:tcPr>
            <w:tcW w:w="9242" w:type="dxa"/>
            <w:gridSpan w:val="2"/>
          </w:tcPr>
          <w:p w14:paraId="6E7F0DD0" w14:textId="77777777" w:rsidR="00DF7251" w:rsidRDefault="00DF7251" w:rsidP="00EE6ADE"/>
          <w:p w14:paraId="1B41E06C" w14:textId="77777777" w:rsidR="00DF7251" w:rsidRDefault="00DF7251" w:rsidP="00EE6ADE"/>
          <w:p w14:paraId="494B4C73" w14:textId="77777777" w:rsidR="007C704F" w:rsidRDefault="007C704F" w:rsidP="00EE6ADE"/>
        </w:tc>
      </w:tr>
      <w:tr w:rsidR="00DF7251" w14:paraId="41867384" w14:textId="77777777" w:rsidTr="00C1424E">
        <w:tc>
          <w:tcPr>
            <w:tcW w:w="9242" w:type="dxa"/>
            <w:gridSpan w:val="2"/>
          </w:tcPr>
          <w:p w14:paraId="45B8118F" w14:textId="77777777" w:rsidR="00DF7251" w:rsidRDefault="00FB6F09" w:rsidP="001E576D">
            <w:r>
              <w:t>D</w:t>
            </w:r>
            <w:r w:rsidR="00D5167C">
              <w:t xml:space="preserve">escribe how the potential </w:t>
            </w:r>
            <w:r w:rsidR="00726C72">
              <w:t>benefits</w:t>
            </w:r>
            <w:r w:rsidR="00D5167C">
              <w:t xml:space="preserve"> from your proposed activity could </w:t>
            </w:r>
            <w:r>
              <w:t xml:space="preserve">inspire or </w:t>
            </w:r>
            <w:r w:rsidR="00D5167C">
              <w:t xml:space="preserve">be of professional value to other </w:t>
            </w:r>
            <w:r w:rsidR="001E576D">
              <w:t>IESANZ Ltd</w:t>
            </w:r>
            <w:r w:rsidR="00D5167C">
              <w:t xml:space="preserve"> members when you undertake to meet the conditions </w:t>
            </w:r>
            <w:r w:rsidR="00FB438C">
              <w:t>set out below</w:t>
            </w:r>
            <w:r w:rsidR="00D5167C">
              <w:t xml:space="preserve"> (minimum 150 words)</w:t>
            </w:r>
            <w:r w:rsidR="00EF055B">
              <w:t>:</w:t>
            </w:r>
          </w:p>
        </w:tc>
      </w:tr>
      <w:tr w:rsidR="00D5167C" w14:paraId="35A8A057" w14:textId="77777777" w:rsidTr="00C1424E">
        <w:tc>
          <w:tcPr>
            <w:tcW w:w="9242" w:type="dxa"/>
            <w:gridSpan w:val="2"/>
          </w:tcPr>
          <w:p w14:paraId="5E0A5D40" w14:textId="77777777" w:rsidR="00D5167C" w:rsidRDefault="00D5167C" w:rsidP="00DF7251"/>
          <w:p w14:paraId="4EA85955" w14:textId="77777777" w:rsidR="00D5167C" w:rsidRDefault="00D5167C" w:rsidP="00DF7251"/>
          <w:p w14:paraId="2B78001A" w14:textId="77777777" w:rsidR="00D5167C" w:rsidRDefault="00D5167C" w:rsidP="00DF7251"/>
        </w:tc>
      </w:tr>
      <w:tr w:rsidR="00D5167C" w14:paraId="4969CD59" w14:textId="77777777" w:rsidTr="00C1424E">
        <w:tc>
          <w:tcPr>
            <w:tcW w:w="9242" w:type="dxa"/>
            <w:gridSpan w:val="2"/>
          </w:tcPr>
          <w:p w14:paraId="211BFA9B" w14:textId="77777777" w:rsidR="00D5167C" w:rsidRPr="00EF055B" w:rsidRDefault="00D5167C" w:rsidP="00DF7251">
            <w:pPr>
              <w:rPr>
                <w:b/>
              </w:rPr>
            </w:pPr>
            <w:r w:rsidRPr="00EF055B">
              <w:rPr>
                <w:b/>
              </w:rPr>
              <w:t>Conditions</w:t>
            </w:r>
          </w:p>
        </w:tc>
      </w:tr>
      <w:tr w:rsidR="00DF7251" w14:paraId="36A2ED41" w14:textId="77777777" w:rsidTr="00C557E4">
        <w:tc>
          <w:tcPr>
            <w:tcW w:w="9242" w:type="dxa"/>
            <w:gridSpan w:val="2"/>
          </w:tcPr>
          <w:p w14:paraId="7AF79C48" w14:textId="77777777" w:rsidR="00DF7251" w:rsidRDefault="00DF7251" w:rsidP="00DF7251">
            <w:r>
              <w:t xml:space="preserve">I agree to the following conditions in relation to the funded activity if I am awarded the </w:t>
            </w:r>
            <w:proofErr w:type="spellStart"/>
            <w:r>
              <w:t>Gwenyth</w:t>
            </w:r>
            <w:proofErr w:type="spellEnd"/>
            <w:r>
              <w:t xml:space="preserve"> </w:t>
            </w:r>
            <w:proofErr w:type="spellStart"/>
            <w:r>
              <w:t>Ewens</w:t>
            </w:r>
            <w:proofErr w:type="spellEnd"/>
            <w:r>
              <w:t xml:space="preserve"> Memorial Bursary:</w:t>
            </w:r>
          </w:p>
          <w:p w14:paraId="083364E7" w14:textId="77777777" w:rsidR="00FB6F09" w:rsidRDefault="00FB6F09" w:rsidP="00D5167C">
            <w:pPr>
              <w:pStyle w:val="ListParagraph"/>
            </w:pPr>
            <w:r>
              <w:t>Prepare a s</w:t>
            </w:r>
            <w:r w:rsidR="00E80CEB">
              <w:t>hort report to the Board of my</w:t>
            </w:r>
            <w:r>
              <w:t xml:space="preserve"> activity an</w:t>
            </w:r>
            <w:r w:rsidR="005219FE">
              <w:t>d</w:t>
            </w:r>
            <w:r>
              <w:t xml:space="preserve"> outcomes (1 page)</w:t>
            </w:r>
            <w:r w:rsidR="00EF055B">
              <w:t>.</w:t>
            </w:r>
          </w:p>
          <w:p w14:paraId="36B2B761" w14:textId="77777777" w:rsidR="00DF7251" w:rsidRDefault="00DF7251" w:rsidP="00D5167C">
            <w:pPr>
              <w:pStyle w:val="ListParagraph"/>
            </w:pPr>
            <w:r>
              <w:t>Prepare an article (Minimum of 750 words) for the Lighting Magazine to be submitted to the Editor within 3 months of completion of the activity.</w:t>
            </w:r>
          </w:p>
          <w:p w14:paraId="0131C654" w14:textId="77777777" w:rsidR="00DF7251" w:rsidRDefault="00DF7251" w:rsidP="00D5167C">
            <w:pPr>
              <w:pStyle w:val="ListParagraph"/>
            </w:pPr>
            <w:r>
              <w:t>Present a technical paper to the recipient’s local Chapter as part of the scheduled technical talk program within 6 months of completion of the activity.</w:t>
            </w:r>
          </w:p>
          <w:p w14:paraId="6D923FEE" w14:textId="77777777" w:rsidR="00DF7251" w:rsidRDefault="00DF7251" w:rsidP="00D5167C">
            <w:pPr>
              <w:pStyle w:val="ListParagraph"/>
            </w:pPr>
            <w:r>
              <w:t xml:space="preserve">Make all reasonable </w:t>
            </w:r>
            <w:r w:rsidRPr="00DF7251">
              <w:rPr>
                <w:lang w:val="en-AU"/>
              </w:rPr>
              <w:t>endeavours</w:t>
            </w:r>
            <w:r>
              <w:t xml:space="preserve"> to be available to present the same technical paper to one other Chapter’s scheduled technical talk program within 12 months of completion of the activity. (</w:t>
            </w:r>
            <w:r w:rsidR="00E75D1A">
              <w:t xml:space="preserve">economy class </w:t>
            </w:r>
            <w:r>
              <w:t xml:space="preserve">travel and accommodation expenses will be covered by </w:t>
            </w:r>
            <w:r w:rsidR="003422F0">
              <w:t>IESANZ Ltd.</w:t>
            </w:r>
            <w:r>
              <w:t>)</w:t>
            </w:r>
            <w:r w:rsidR="003422F0">
              <w:t>.</w:t>
            </w:r>
          </w:p>
          <w:p w14:paraId="1EAB8F3E" w14:textId="77777777" w:rsidR="00DF7251" w:rsidRDefault="003422F0">
            <w:pPr>
              <w:pStyle w:val="ListParagraph"/>
            </w:pPr>
            <w:r>
              <w:t xml:space="preserve">Make all reasonable </w:t>
            </w:r>
            <w:r w:rsidRPr="00DF7251">
              <w:rPr>
                <w:lang w:val="en-AU"/>
              </w:rPr>
              <w:t>endeavours</w:t>
            </w:r>
            <w:r>
              <w:t xml:space="preserve"> to be available to present the same technical paper at the next IESANZ Ltd Conference. (</w:t>
            </w:r>
            <w:r w:rsidR="00E75D1A">
              <w:t xml:space="preserve">economy class </w:t>
            </w:r>
            <w:r>
              <w:t>travel and accommodation expenses will be covered by IESANZ Ltd.).</w:t>
            </w:r>
          </w:p>
        </w:tc>
      </w:tr>
      <w:tr w:rsidR="00153F05" w14:paraId="31BC4677" w14:textId="77777777" w:rsidTr="00EE6ADE">
        <w:tc>
          <w:tcPr>
            <w:tcW w:w="1599" w:type="dxa"/>
          </w:tcPr>
          <w:p w14:paraId="2374A524" w14:textId="77777777" w:rsidR="00153F05" w:rsidRDefault="00DF7251" w:rsidP="00EE6ADE">
            <w:r>
              <w:t>Signed</w:t>
            </w:r>
            <w:r w:rsidR="003422F0">
              <w:t>:</w:t>
            </w:r>
          </w:p>
        </w:tc>
        <w:tc>
          <w:tcPr>
            <w:tcW w:w="7643" w:type="dxa"/>
          </w:tcPr>
          <w:p w14:paraId="4CF01757" w14:textId="77777777" w:rsidR="00153F05" w:rsidRDefault="00153F05" w:rsidP="00EE6ADE"/>
        </w:tc>
      </w:tr>
      <w:tr w:rsidR="00DF7251" w14:paraId="107F0987" w14:textId="77777777" w:rsidTr="00EE6ADE">
        <w:tc>
          <w:tcPr>
            <w:tcW w:w="1599" w:type="dxa"/>
          </w:tcPr>
          <w:p w14:paraId="1EE7FF40" w14:textId="77777777" w:rsidR="00DF7251" w:rsidRDefault="00DF7251" w:rsidP="00EE6ADE">
            <w:r>
              <w:t>Date</w:t>
            </w:r>
            <w:r w:rsidR="003422F0">
              <w:t>:</w:t>
            </w:r>
          </w:p>
        </w:tc>
        <w:tc>
          <w:tcPr>
            <w:tcW w:w="7643" w:type="dxa"/>
          </w:tcPr>
          <w:p w14:paraId="453800AF" w14:textId="77777777" w:rsidR="00DF7251" w:rsidRDefault="00DF7251" w:rsidP="00EE6ADE"/>
        </w:tc>
      </w:tr>
    </w:tbl>
    <w:p w14:paraId="749D2C3F" w14:textId="77777777" w:rsidR="009A5245" w:rsidRPr="001C1184" w:rsidRDefault="009A5245" w:rsidP="00E722D6">
      <w:pPr>
        <w:pStyle w:val="Heading1"/>
      </w:pPr>
      <w:r>
        <w:br w:type="page"/>
      </w:r>
    </w:p>
    <w:p w14:paraId="4CB77388" w14:textId="77777777" w:rsidR="00D5167C" w:rsidRPr="008D3F21" w:rsidRDefault="006F491D" w:rsidP="006F491D">
      <w:pPr>
        <w:rPr>
          <w:rFonts w:asciiTheme="majorHAnsi" w:hAnsiTheme="majorHAnsi"/>
          <w:b/>
          <w:sz w:val="28"/>
          <w:szCs w:val="28"/>
        </w:rPr>
      </w:pPr>
      <w:r w:rsidRPr="008D3F21">
        <w:rPr>
          <w:rFonts w:asciiTheme="majorHAnsi" w:hAnsiTheme="majorHAnsi"/>
          <w:b/>
          <w:sz w:val="28"/>
          <w:szCs w:val="28"/>
        </w:rPr>
        <w:lastRenderedPageBreak/>
        <w:t>C</w:t>
      </w:r>
      <w:r w:rsidR="00F06CC9" w:rsidRPr="008D3F21">
        <w:rPr>
          <w:rFonts w:asciiTheme="majorHAnsi" w:hAnsiTheme="majorHAnsi"/>
          <w:b/>
          <w:sz w:val="28"/>
          <w:szCs w:val="28"/>
        </w:rPr>
        <w:t>riteria to be c</w:t>
      </w:r>
      <w:r w:rsidRPr="008D3F21">
        <w:rPr>
          <w:rFonts w:asciiTheme="majorHAnsi" w:hAnsiTheme="majorHAnsi"/>
          <w:b/>
          <w:sz w:val="28"/>
          <w:szCs w:val="28"/>
        </w:rPr>
        <w:t>onsider</w:t>
      </w:r>
      <w:r w:rsidR="00F06CC9" w:rsidRPr="008D3F21">
        <w:rPr>
          <w:rFonts w:asciiTheme="majorHAnsi" w:hAnsiTheme="majorHAnsi"/>
          <w:b/>
          <w:sz w:val="28"/>
          <w:szCs w:val="28"/>
        </w:rPr>
        <w:t xml:space="preserve">ed </w:t>
      </w:r>
      <w:r w:rsidRPr="008D3F21">
        <w:rPr>
          <w:rFonts w:asciiTheme="majorHAnsi" w:hAnsiTheme="majorHAnsi"/>
          <w:b/>
          <w:sz w:val="28"/>
          <w:szCs w:val="28"/>
        </w:rPr>
        <w:t>by selection panel</w:t>
      </w:r>
      <w:r w:rsidR="00F06CC9" w:rsidRPr="008D3F21">
        <w:rPr>
          <w:rFonts w:asciiTheme="majorHAnsi" w:hAnsiTheme="majorHAnsi"/>
          <w:b/>
          <w:sz w:val="28"/>
          <w:szCs w:val="28"/>
        </w:rPr>
        <w:t xml:space="preserve"> in assessing the applications include</w:t>
      </w:r>
      <w:r w:rsidR="00D5167C" w:rsidRPr="008D3F21">
        <w:rPr>
          <w:rFonts w:asciiTheme="majorHAnsi" w:hAnsiTheme="majorHAnsi"/>
          <w:b/>
          <w:sz w:val="28"/>
          <w:szCs w:val="28"/>
        </w:rPr>
        <w:t>:</w:t>
      </w:r>
    </w:p>
    <w:p w14:paraId="34D811FB" w14:textId="77777777" w:rsidR="00D5167C" w:rsidRDefault="00D5167C" w:rsidP="00FB6F09">
      <w:pPr>
        <w:pStyle w:val="ListParagraph"/>
        <w:spacing w:line="360" w:lineRule="auto"/>
      </w:pPr>
      <w:r>
        <w:t>The educational and/or research value of the proposed activity</w:t>
      </w:r>
    </w:p>
    <w:p w14:paraId="6036A166" w14:textId="77777777" w:rsidR="00FB6F09" w:rsidRDefault="00D5167C" w:rsidP="00FB6F09">
      <w:pPr>
        <w:pStyle w:val="ListParagraph"/>
        <w:spacing w:line="360" w:lineRule="auto"/>
      </w:pPr>
      <w:r>
        <w:t xml:space="preserve">The </w:t>
      </w:r>
      <w:r w:rsidR="00FB6F09">
        <w:t xml:space="preserve">likelihood that such an activity will benefit </w:t>
      </w:r>
      <w:r w:rsidR="00F06CC9">
        <w:t>the applicant</w:t>
      </w:r>
      <w:r w:rsidR="00FB6F09">
        <w:t xml:space="preserve"> professionally as a member of </w:t>
      </w:r>
      <w:r w:rsidR="001E576D">
        <w:t>IESANZ Ltd,</w:t>
      </w:r>
      <w:r w:rsidR="00FB6F09">
        <w:t xml:space="preserve"> The Lighting Society</w:t>
      </w:r>
    </w:p>
    <w:p w14:paraId="2ADAB061" w14:textId="77777777" w:rsidR="00FB6F09" w:rsidRDefault="00FB6F09" w:rsidP="00FB6F09">
      <w:pPr>
        <w:pStyle w:val="ListParagraph"/>
        <w:spacing w:line="360" w:lineRule="auto"/>
      </w:pPr>
      <w:r>
        <w:t xml:space="preserve">The likelihood that such an activity will inspire/encourage other members of </w:t>
      </w:r>
      <w:r w:rsidR="001E576D">
        <w:t>IESANZ Ltd,</w:t>
      </w:r>
      <w:r>
        <w:t xml:space="preserve"> The Lighting Society to undertake professional development activit</w:t>
      </w:r>
      <w:r w:rsidR="001E576D">
        <w:t>ies</w:t>
      </w:r>
    </w:p>
    <w:p w14:paraId="22AD496A" w14:textId="77777777" w:rsidR="00FB6F09" w:rsidRDefault="00FB6F09" w:rsidP="00FB6F09">
      <w:pPr>
        <w:pStyle w:val="ListParagraph"/>
        <w:spacing w:line="360" w:lineRule="auto"/>
      </w:pPr>
      <w:r>
        <w:t>The “value for money” of the proposed activity</w:t>
      </w:r>
    </w:p>
    <w:p w14:paraId="6CE6289E" w14:textId="77777777" w:rsidR="00F06CC9" w:rsidRDefault="00F06CC9" w:rsidP="00F06CC9">
      <w:pPr>
        <w:spacing w:after="0" w:line="240" w:lineRule="auto"/>
      </w:pPr>
    </w:p>
    <w:p w14:paraId="54B12FAE" w14:textId="77777777" w:rsidR="00F06CC9" w:rsidRDefault="00F06CC9">
      <w:pPr>
        <w:rPr>
          <w:rFonts w:ascii="Calibri" w:eastAsia="Calibri" w:hAnsi="Calibri" w:cs="Times New Roman"/>
          <w:lang w:val="en-US"/>
        </w:rPr>
      </w:pPr>
      <w:r>
        <w:rPr>
          <w:rFonts w:ascii="Calibri" w:eastAsia="Calibri" w:hAnsi="Calibri" w:cs="Times New Roman"/>
          <w:lang w:val="en-US"/>
        </w:rPr>
        <w:br w:type="page"/>
      </w:r>
    </w:p>
    <w:p w14:paraId="2C7F10D6" w14:textId="77777777" w:rsidR="00707276" w:rsidRDefault="00656F8B" w:rsidP="00E722D6">
      <w:pPr>
        <w:pStyle w:val="Heading1"/>
      </w:pPr>
      <w:bookmarkStart w:id="1" w:name="_Gwenyth_Ewens:_Her"/>
      <w:bookmarkEnd w:id="1"/>
      <w:proofErr w:type="spellStart"/>
      <w:r>
        <w:lastRenderedPageBreak/>
        <w:t>Gwenyth</w:t>
      </w:r>
      <w:proofErr w:type="spellEnd"/>
      <w:r>
        <w:t xml:space="preserve"> </w:t>
      </w:r>
      <w:proofErr w:type="spellStart"/>
      <w:r>
        <w:t>Ewens</w:t>
      </w:r>
      <w:proofErr w:type="spellEnd"/>
      <w:r>
        <w:t xml:space="preserve">: </w:t>
      </w:r>
      <w:r w:rsidR="00405605">
        <w:t>Her Story</w:t>
      </w:r>
    </w:p>
    <w:p w14:paraId="21B5A76D" w14:textId="77777777" w:rsidR="001C1184" w:rsidRDefault="001C1184" w:rsidP="00E722D6">
      <w:pPr>
        <w:pStyle w:val="Heading1"/>
      </w:pPr>
    </w:p>
    <w:p w14:paraId="50E4D797" w14:textId="77777777" w:rsidR="00DE7C2F" w:rsidRDefault="00405605" w:rsidP="001C1184">
      <w:pPr>
        <w:spacing w:after="0"/>
      </w:pPr>
      <w:proofErr w:type="spellStart"/>
      <w:r>
        <w:t>Gwenyth</w:t>
      </w:r>
      <w:proofErr w:type="spellEnd"/>
      <w:r>
        <w:t xml:space="preserve"> </w:t>
      </w:r>
      <w:proofErr w:type="spellStart"/>
      <w:r>
        <w:t>Ewens</w:t>
      </w:r>
      <w:proofErr w:type="spellEnd"/>
      <w:r>
        <w:t xml:space="preserve"> was born in 1916 at Claremont, Western Australia, where she attended the Methodist La</w:t>
      </w:r>
      <w:r w:rsidR="0013509C">
        <w:t xml:space="preserve">dies </w:t>
      </w:r>
      <w:r>
        <w:t>College. She studied survey drafting and architecture at the Perth Technical College and took a course in History of Architecture at the University of Western Australia. She became a member of the Architectural Association of Western Australia. She specialised in glass research and did practical work at Pilkington Bros, St Helens, England. After a study tour of The Netherlands and Germany organised by the two respective governments, she became a member of the Housing Centre Trust in London. She was</w:t>
      </w:r>
      <w:r w:rsidR="00DE7C2F">
        <w:t xml:space="preserve"> </w:t>
      </w:r>
      <w:r>
        <w:t>a member of the Inter-Society Colour Council of USA</w:t>
      </w:r>
      <w:r w:rsidR="00DE7C2F">
        <w:t xml:space="preserve"> for 15 years</w:t>
      </w:r>
      <w:r>
        <w:t xml:space="preserve">. </w:t>
      </w:r>
    </w:p>
    <w:p w14:paraId="762F9145" w14:textId="77777777" w:rsidR="00DE7C2F" w:rsidRDefault="00DE7C2F" w:rsidP="001C1184">
      <w:pPr>
        <w:spacing w:after="0"/>
      </w:pPr>
    </w:p>
    <w:p w14:paraId="19E506F8" w14:textId="77777777" w:rsidR="00405605" w:rsidRDefault="00405605" w:rsidP="001C1184">
      <w:pPr>
        <w:spacing w:after="0"/>
      </w:pPr>
      <w:r>
        <w:t xml:space="preserve">Gwen </w:t>
      </w:r>
      <w:proofErr w:type="spellStart"/>
      <w:r>
        <w:t>Ewens</w:t>
      </w:r>
      <w:proofErr w:type="spellEnd"/>
      <w:r>
        <w:t xml:space="preserve"> was a tireless lecturer on architectural design, interior decoration, lighting, colour and vision; lecturing at the University of Western Australia for the Adult Education Board, and the Technical Education Division of the Department of Education in Western Australia. She presented her first paper 'On the production, propert</w:t>
      </w:r>
      <w:r w:rsidR="0013509C">
        <w:t>ies</w:t>
      </w:r>
      <w:r>
        <w:t xml:space="preserve"> and utilisation of glass' to the </w:t>
      </w:r>
      <w:r w:rsidR="0013509C">
        <w:t>IES</w:t>
      </w:r>
      <w:r>
        <w:t xml:space="preserve"> in Western Australia in 1949. In 1951, she joined the </w:t>
      </w:r>
      <w:r w:rsidR="001E576D">
        <w:t>IES</w:t>
      </w:r>
      <w:r>
        <w:t xml:space="preserve"> WA Council and served on most of the Council's committees. She acted as secretary when the need arose, contributing her vast experience in Society affairs to the continuity of the </w:t>
      </w:r>
      <w:r w:rsidR="0013509C">
        <w:t xml:space="preserve">IES </w:t>
      </w:r>
      <w:r>
        <w:t xml:space="preserve">in Western Australia. She was elected on the National Council in November 1966 and remained on the Council to November 1972, when she retired from the National Council and, in 1975, also </w:t>
      </w:r>
      <w:r w:rsidR="00DE7C2F">
        <w:t xml:space="preserve">retired </w:t>
      </w:r>
      <w:r>
        <w:t xml:space="preserve">from the </w:t>
      </w:r>
      <w:r w:rsidR="001E576D">
        <w:t>IES</w:t>
      </w:r>
      <w:r>
        <w:t xml:space="preserve"> Council in Western Australia because of pressing family commitments. </w:t>
      </w:r>
    </w:p>
    <w:p w14:paraId="02491829" w14:textId="77777777" w:rsidR="00342FCD" w:rsidRDefault="00342FCD" w:rsidP="001C1184">
      <w:pPr>
        <w:spacing w:after="0"/>
      </w:pPr>
    </w:p>
    <w:p w14:paraId="49309BFC" w14:textId="77777777" w:rsidR="00405605" w:rsidRDefault="00405605" w:rsidP="001C1184">
      <w:pPr>
        <w:spacing w:after="0"/>
      </w:pPr>
      <w:r>
        <w:t xml:space="preserve">Gwen was dedicated to the </w:t>
      </w:r>
      <w:r w:rsidR="0013509C">
        <w:t>IES</w:t>
      </w:r>
      <w:r>
        <w:t xml:space="preserve"> and all the Society stands for. She was for many years the Western Australia representative on the National Lighting Education Board, and the State editor of the </w:t>
      </w:r>
      <w:r w:rsidR="0013509C">
        <w:t>IES</w:t>
      </w:r>
      <w:r>
        <w:t xml:space="preserve"> Lighting Review (now "Lighting" magazine). Every five years, Gwen </w:t>
      </w:r>
      <w:proofErr w:type="spellStart"/>
      <w:r>
        <w:t>Ewens</w:t>
      </w:r>
      <w:proofErr w:type="spellEnd"/>
      <w:r>
        <w:t xml:space="preserve"> would become the rallying point for the </w:t>
      </w:r>
      <w:r w:rsidR="0013509C">
        <w:t>IES</w:t>
      </w:r>
      <w:r>
        <w:t xml:space="preserve"> national conference and convention in Western Australia. She often acted on the program committee, meetings committee, social committee, facili</w:t>
      </w:r>
      <w:r w:rsidR="0013509C">
        <w:t>ties</w:t>
      </w:r>
      <w:r>
        <w:t xml:space="preserve"> committee, publicity committee, and as public relations officer, all in one. </w:t>
      </w:r>
    </w:p>
    <w:p w14:paraId="68DCEA23" w14:textId="77777777" w:rsidR="00342FCD" w:rsidRDefault="00342FCD" w:rsidP="001C1184">
      <w:pPr>
        <w:spacing w:after="0"/>
      </w:pPr>
    </w:p>
    <w:p w14:paraId="7E0F3E84" w14:textId="77777777" w:rsidR="00405605" w:rsidRDefault="00405605" w:rsidP="001C1184">
      <w:pPr>
        <w:spacing w:after="0"/>
      </w:pPr>
      <w:r>
        <w:t>On 20 November 1975 Gwen was elected a Life Fellow of the Illuminating Engineering Societ</w:t>
      </w:r>
      <w:r w:rsidR="0013509C">
        <w:t>ies</w:t>
      </w:r>
      <w:r>
        <w:t xml:space="preserve"> of Australia in recognition of her work "as a member of the National Council and, in particular, as a long-standing supporter of that Council in her home state, Western Australia".</w:t>
      </w:r>
    </w:p>
    <w:p w14:paraId="29DE4D2F" w14:textId="77777777" w:rsidR="00342FCD" w:rsidRDefault="00342FCD" w:rsidP="001C1184">
      <w:pPr>
        <w:spacing w:after="0"/>
      </w:pPr>
    </w:p>
    <w:p w14:paraId="5043C809" w14:textId="77777777" w:rsidR="00405605" w:rsidRDefault="00405605" w:rsidP="001C1184">
      <w:pPr>
        <w:spacing w:after="0"/>
      </w:pPr>
      <w:r>
        <w:t>Gwen</w:t>
      </w:r>
      <w:r w:rsidR="00DE7C2F">
        <w:t xml:space="preserve"> </w:t>
      </w:r>
      <w:proofErr w:type="spellStart"/>
      <w:r w:rsidR="00DE7C2F">
        <w:t>Ewens</w:t>
      </w:r>
      <w:proofErr w:type="spellEnd"/>
      <w:r w:rsidR="00DE7C2F">
        <w:t xml:space="preserve"> passed away </w:t>
      </w:r>
      <w:r>
        <w:t xml:space="preserve">in Perth on </w:t>
      </w:r>
      <w:r w:rsidR="00342FCD">
        <w:t>15</w:t>
      </w:r>
      <w:r w:rsidR="00DE7C2F">
        <w:t xml:space="preserve"> February 199</w:t>
      </w:r>
      <w:r w:rsidR="00C1143E">
        <w:t>5</w:t>
      </w:r>
      <w:r w:rsidR="00DE7C2F">
        <w:t xml:space="preserve"> and in her </w:t>
      </w:r>
      <w:r w:rsidR="00FB438C">
        <w:t>w</w:t>
      </w:r>
      <w:r w:rsidR="00DE7C2F">
        <w:t xml:space="preserve">ill bequeathed a sum of money to the </w:t>
      </w:r>
      <w:r w:rsidR="0013509C">
        <w:t>IES</w:t>
      </w:r>
      <w:r w:rsidR="009F77EE">
        <w:t xml:space="preserve"> for the purposes of education and research</w:t>
      </w:r>
      <w:r w:rsidR="00DE7C2F">
        <w:t>.</w:t>
      </w:r>
    </w:p>
    <w:sectPr w:rsidR="00405605" w:rsidSect="00554604">
      <w:headerReference w:type="even" r:id="rId9"/>
      <w:headerReference w:type="default" r:id="rId10"/>
      <w:footerReference w:type="even" r:id="rId11"/>
      <w:footerReference w:type="default" r:id="rId12"/>
      <w:headerReference w:type="first" r:id="rId13"/>
      <w:footerReference w:type="first" r:id="rId14"/>
      <w:pgSz w:w="11906" w:h="16838"/>
      <w:pgMar w:top="2552"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CE1CB5" w14:textId="77777777" w:rsidR="00874464" w:rsidRDefault="00874464" w:rsidP="001C1184">
      <w:pPr>
        <w:spacing w:after="0" w:line="240" w:lineRule="auto"/>
      </w:pPr>
      <w:r>
        <w:separator/>
      </w:r>
    </w:p>
  </w:endnote>
  <w:endnote w:type="continuationSeparator" w:id="0">
    <w:p w14:paraId="41BCA053" w14:textId="77777777" w:rsidR="00874464" w:rsidRDefault="00874464" w:rsidP="001C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9342" w14:textId="77777777" w:rsidR="00A42505" w:rsidRDefault="00A42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8FA7" w14:textId="3AD94674" w:rsidR="001C1184" w:rsidRDefault="001E576D" w:rsidP="001C1184">
    <w:pPr>
      <w:pStyle w:val="Header"/>
    </w:pPr>
    <w:r>
      <w:t>IESANZ Ltd</w:t>
    </w:r>
    <w:r w:rsidR="00DA004A">
      <w:t>:</w:t>
    </w:r>
    <w:r w:rsidR="001C1184">
      <w:t xml:space="preserve"> The Lighting Society</w:t>
    </w:r>
    <w:r w:rsidR="001C1184">
      <w:tab/>
    </w:r>
    <w:r w:rsidR="001C1184">
      <w:tab/>
    </w:r>
    <w:proofErr w:type="spellStart"/>
    <w:r w:rsidR="001C1184">
      <w:t>Gwenyth</w:t>
    </w:r>
    <w:proofErr w:type="spellEnd"/>
    <w:r w:rsidR="001C1184">
      <w:t xml:space="preserve"> </w:t>
    </w:r>
    <w:proofErr w:type="spellStart"/>
    <w:r w:rsidR="001C1184">
      <w:t>Ewens</w:t>
    </w:r>
    <w:proofErr w:type="spellEnd"/>
    <w:r w:rsidR="001C1184">
      <w:t xml:space="preserve"> Bursary </w:t>
    </w:r>
    <w:r w:rsidR="00A42505">
      <w:t>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3E9E6" w14:textId="77777777" w:rsidR="00A42505" w:rsidRDefault="00A42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5579E" w14:textId="77777777" w:rsidR="00874464" w:rsidRDefault="00874464" w:rsidP="001C1184">
      <w:pPr>
        <w:spacing w:after="0" w:line="240" w:lineRule="auto"/>
      </w:pPr>
      <w:r>
        <w:separator/>
      </w:r>
    </w:p>
  </w:footnote>
  <w:footnote w:type="continuationSeparator" w:id="0">
    <w:p w14:paraId="2E4A5F86" w14:textId="77777777" w:rsidR="00874464" w:rsidRDefault="00874464" w:rsidP="001C1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0F54C" w14:textId="77777777" w:rsidR="00A42505" w:rsidRDefault="00A42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448A" w14:textId="77777777" w:rsidR="00E722D6" w:rsidRDefault="00E722D6" w:rsidP="00E722D6">
    <w:pPr>
      <w:pStyle w:val="Heading1"/>
    </w:pPr>
    <w:r>
      <w:rPr>
        <w:noProof/>
        <w:lang w:val="en-AU"/>
      </w:rPr>
      <w:drawing>
        <wp:anchor distT="0" distB="0" distL="114300" distR="114300" simplePos="0" relativeHeight="251659264" behindDoc="0" locked="0" layoutInCell="1" allowOverlap="1" wp14:anchorId="6AD34D78" wp14:editId="474FD64D">
          <wp:simplePos x="0" y="0"/>
          <wp:positionH relativeFrom="column">
            <wp:posOffset>-457200</wp:posOffset>
          </wp:positionH>
          <wp:positionV relativeFrom="paragraph">
            <wp:posOffset>196215</wp:posOffset>
          </wp:positionV>
          <wp:extent cx="1615440" cy="8534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15440" cy="853440"/>
                  </a:xfrm>
                  <a:prstGeom prst="rect">
                    <a:avLst/>
                  </a:prstGeom>
                </pic:spPr>
              </pic:pic>
            </a:graphicData>
          </a:graphic>
        </wp:anchor>
      </w:drawing>
    </w:r>
  </w:p>
  <w:p w14:paraId="6B6F22B8" w14:textId="77777777" w:rsidR="00E722D6" w:rsidRPr="006F491D" w:rsidRDefault="00E722D6" w:rsidP="00E722D6">
    <w:pPr>
      <w:pStyle w:val="Heading1"/>
    </w:pPr>
    <w:r>
      <w:t>IES: The Lighting Society</w:t>
    </w:r>
  </w:p>
  <w:p w14:paraId="2193DCB7" w14:textId="439ECD8A" w:rsidR="00E722D6" w:rsidRDefault="006A3F41" w:rsidP="00E722D6">
    <w:pPr>
      <w:pStyle w:val="Heading1"/>
    </w:pPr>
    <w:r>
      <w:t>2019</w:t>
    </w:r>
    <w:r w:rsidRPr="006F491D">
      <w:t xml:space="preserve"> </w:t>
    </w:r>
    <w:proofErr w:type="spellStart"/>
    <w:r w:rsidR="00E722D6" w:rsidRPr="006F491D">
      <w:t>Gwenyth</w:t>
    </w:r>
    <w:proofErr w:type="spellEnd"/>
    <w:r w:rsidR="00E722D6" w:rsidRPr="006F491D">
      <w:t xml:space="preserve"> </w:t>
    </w:r>
    <w:proofErr w:type="spellStart"/>
    <w:r w:rsidR="00E722D6" w:rsidRPr="006F491D">
      <w:t>Ewens</w:t>
    </w:r>
    <w:proofErr w:type="spellEnd"/>
    <w:r w:rsidR="00E722D6" w:rsidRPr="006F491D">
      <w:t xml:space="preserve"> Memorial Bursary</w:t>
    </w:r>
  </w:p>
  <w:p w14:paraId="4087134D" w14:textId="77777777" w:rsidR="00E722D6" w:rsidRPr="006F491D" w:rsidRDefault="00E722D6" w:rsidP="00E722D6">
    <w:pPr>
      <w:pStyle w:val="Heading1"/>
    </w:pPr>
    <w:r w:rsidRPr="006F491D">
      <w:t>Invitation to Apply</w:t>
    </w:r>
  </w:p>
  <w:p w14:paraId="18FC3B01" w14:textId="77777777" w:rsidR="00554604" w:rsidRDefault="005546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4F5F8" w14:textId="77777777" w:rsidR="00A42505" w:rsidRDefault="00A425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60249"/>
    <w:multiLevelType w:val="hybridMultilevel"/>
    <w:tmpl w:val="D0D89514"/>
    <w:lvl w:ilvl="0" w:tplc="8B44580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276"/>
    <w:rsid w:val="000603C0"/>
    <w:rsid w:val="000A1484"/>
    <w:rsid w:val="00126F69"/>
    <w:rsid w:val="00134BEA"/>
    <w:rsid w:val="0013509C"/>
    <w:rsid w:val="00153F05"/>
    <w:rsid w:val="001C1184"/>
    <w:rsid w:val="001E576D"/>
    <w:rsid w:val="001E5E80"/>
    <w:rsid w:val="001E707C"/>
    <w:rsid w:val="002125BF"/>
    <w:rsid w:val="00254977"/>
    <w:rsid w:val="00275EE3"/>
    <w:rsid w:val="002B57E2"/>
    <w:rsid w:val="00300E48"/>
    <w:rsid w:val="00324D7E"/>
    <w:rsid w:val="003422F0"/>
    <w:rsid w:val="003423D5"/>
    <w:rsid w:val="00342FCD"/>
    <w:rsid w:val="003625DB"/>
    <w:rsid w:val="003A00E2"/>
    <w:rsid w:val="003D035D"/>
    <w:rsid w:val="003D3C96"/>
    <w:rsid w:val="003F156B"/>
    <w:rsid w:val="003F59DD"/>
    <w:rsid w:val="004045A5"/>
    <w:rsid w:val="00405605"/>
    <w:rsid w:val="00491B18"/>
    <w:rsid w:val="004B4A81"/>
    <w:rsid w:val="004C087C"/>
    <w:rsid w:val="005219FE"/>
    <w:rsid w:val="005429CC"/>
    <w:rsid w:val="00554604"/>
    <w:rsid w:val="00560CAA"/>
    <w:rsid w:val="006032C3"/>
    <w:rsid w:val="00621457"/>
    <w:rsid w:val="00656F8B"/>
    <w:rsid w:val="00690954"/>
    <w:rsid w:val="006A3F41"/>
    <w:rsid w:val="006D7E44"/>
    <w:rsid w:val="006F491D"/>
    <w:rsid w:val="00707276"/>
    <w:rsid w:val="00726C72"/>
    <w:rsid w:val="0074628E"/>
    <w:rsid w:val="00766C6E"/>
    <w:rsid w:val="007C704F"/>
    <w:rsid w:val="007E1A26"/>
    <w:rsid w:val="007F00BD"/>
    <w:rsid w:val="008140CA"/>
    <w:rsid w:val="00824C4E"/>
    <w:rsid w:val="00842239"/>
    <w:rsid w:val="00874464"/>
    <w:rsid w:val="008C5F06"/>
    <w:rsid w:val="008D3F21"/>
    <w:rsid w:val="008D46FB"/>
    <w:rsid w:val="0099035A"/>
    <w:rsid w:val="009A5245"/>
    <w:rsid w:val="009C2038"/>
    <w:rsid w:val="009F1C9E"/>
    <w:rsid w:val="009F47E2"/>
    <w:rsid w:val="009F77EE"/>
    <w:rsid w:val="00A220A7"/>
    <w:rsid w:val="00A42505"/>
    <w:rsid w:val="00B604E0"/>
    <w:rsid w:val="00C1143E"/>
    <w:rsid w:val="00C33192"/>
    <w:rsid w:val="00C713F0"/>
    <w:rsid w:val="00C75B69"/>
    <w:rsid w:val="00D5167C"/>
    <w:rsid w:val="00D52E9C"/>
    <w:rsid w:val="00D701AC"/>
    <w:rsid w:val="00D75DBC"/>
    <w:rsid w:val="00DA004A"/>
    <w:rsid w:val="00DB7587"/>
    <w:rsid w:val="00DD7BF1"/>
    <w:rsid w:val="00DE7C2F"/>
    <w:rsid w:val="00DF7251"/>
    <w:rsid w:val="00E42A80"/>
    <w:rsid w:val="00E561E8"/>
    <w:rsid w:val="00E66B1D"/>
    <w:rsid w:val="00E722D6"/>
    <w:rsid w:val="00E75D1A"/>
    <w:rsid w:val="00E80CEB"/>
    <w:rsid w:val="00EF055B"/>
    <w:rsid w:val="00F06CC9"/>
    <w:rsid w:val="00F10D97"/>
    <w:rsid w:val="00F368C9"/>
    <w:rsid w:val="00F575FD"/>
    <w:rsid w:val="00F73529"/>
    <w:rsid w:val="00FB438C"/>
    <w:rsid w:val="00FB6F09"/>
    <w:rsid w:val="00FC02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98038C"/>
  <w15:docId w15:val="{C7E151B2-12AA-0444-B512-0BD2D3A7D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autoRedefine/>
    <w:qFormat/>
    <w:rsid w:val="00E722D6"/>
    <w:pPr>
      <w:keepNext/>
      <w:keepLines/>
      <w:spacing w:after="0"/>
      <w:jc w:val="center"/>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qFormat/>
    <w:rsid w:val="002B57E2"/>
    <w:pPr>
      <w:pBdr>
        <w:top w:val="single" w:sz="8" w:space="1" w:color="4F81BD" w:themeColor="accent1"/>
        <w:bottom w:val="single" w:sz="8" w:space="4" w:color="4F81BD" w:themeColor="accent1"/>
      </w:pBdr>
      <w:spacing w:after="300" w:line="240" w:lineRule="auto"/>
      <w:contextualSpacing/>
      <w:jc w:val="center"/>
    </w:pPr>
    <w:rPr>
      <w:rFonts w:asciiTheme="majorHAnsi" w:eastAsiaTheme="majorEastAsia" w:hAnsiTheme="majorHAnsi" w:cstheme="majorBidi"/>
      <w:color w:val="17365D" w:themeColor="text2" w:themeShade="BF"/>
      <w:spacing w:val="5"/>
      <w:kern w:val="28"/>
      <w:sz w:val="56"/>
      <w:szCs w:val="52"/>
      <w:lang w:val="en-US"/>
    </w:rPr>
  </w:style>
  <w:style w:type="character" w:customStyle="1" w:styleId="TitleChar">
    <w:name w:val="Title Char"/>
    <w:basedOn w:val="DefaultParagraphFont"/>
    <w:link w:val="Title"/>
    <w:rsid w:val="002B57E2"/>
    <w:rPr>
      <w:rFonts w:asciiTheme="majorHAnsi" w:eastAsiaTheme="majorEastAsia" w:hAnsiTheme="majorHAnsi" w:cstheme="majorBidi"/>
      <w:color w:val="17365D" w:themeColor="text2" w:themeShade="BF"/>
      <w:spacing w:val="5"/>
      <w:kern w:val="28"/>
      <w:sz w:val="56"/>
      <w:szCs w:val="52"/>
      <w:lang w:val="en-US" w:eastAsia="en-US"/>
    </w:rPr>
  </w:style>
  <w:style w:type="paragraph" w:styleId="Subtitle">
    <w:name w:val="Subtitle"/>
    <w:basedOn w:val="Normal"/>
    <w:next w:val="Normal"/>
    <w:link w:val="SubtitleChar"/>
    <w:autoRedefine/>
    <w:qFormat/>
    <w:rsid w:val="002B57E2"/>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rsid w:val="002B57E2"/>
    <w:rPr>
      <w:rFonts w:asciiTheme="majorHAnsi" w:eastAsiaTheme="majorEastAsia" w:hAnsiTheme="majorHAnsi" w:cstheme="majorBidi"/>
      <w:i/>
      <w:iCs/>
      <w:color w:val="4F81BD" w:themeColor="accent1"/>
      <w:spacing w:val="15"/>
      <w:sz w:val="24"/>
      <w:szCs w:val="24"/>
      <w:lang w:val="en-US" w:eastAsia="en-US"/>
    </w:rPr>
  </w:style>
  <w:style w:type="character" w:customStyle="1" w:styleId="Heading1Char">
    <w:name w:val="Heading 1 Char"/>
    <w:basedOn w:val="DefaultParagraphFont"/>
    <w:link w:val="Heading1"/>
    <w:rsid w:val="00E722D6"/>
    <w:rPr>
      <w:rFonts w:asciiTheme="majorHAnsi" w:eastAsiaTheme="majorEastAsia" w:hAnsiTheme="majorHAnsi" w:cstheme="majorBidi"/>
      <w:b/>
      <w:bCs/>
      <w:color w:val="365F91" w:themeColor="accent1" w:themeShade="BF"/>
      <w:sz w:val="28"/>
      <w:szCs w:val="28"/>
      <w:lang w:val="en-US"/>
    </w:rPr>
  </w:style>
  <w:style w:type="character" w:styleId="Emphasis">
    <w:name w:val="Emphasis"/>
    <w:basedOn w:val="DefaultParagraphFont"/>
    <w:qFormat/>
    <w:rsid w:val="002B57E2"/>
    <w:rPr>
      <w:i/>
      <w:iCs/>
    </w:rPr>
  </w:style>
  <w:style w:type="paragraph" w:styleId="ListParagraph">
    <w:name w:val="List Paragraph"/>
    <w:basedOn w:val="Normal"/>
    <w:autoRedefine/>
    <w:qFormat/>
    <w:rsid w:val="00D5167C"/>
    <w:pPr>
      <w:numPr>
        <w:numId w:val="1"/>
      </w:numPr>
      <w:spacing w:after="0" w:line="240" w:lineRule="auto"/>
      <w:contextualSpacing/>
    </w:pPr>
    <w:rPr>
      <w:rFonts w:ascii="Calibri" w:eastAsia="Calibri" w:hAnsi="Calibri" w:cs="Times New Roman"/>
      <w:lang w:val="en-US"/>
    </w:rPr>
  </w:style>
  <w:style w:type="character" w:styleId="Strong">
    <w:name w:val="Strong"/>
    <w:basedOn w:val="DefaultParagraphFont"/>
    <w:qFormat/>
    <w:rsid w:val="002B57E2"/>
    <w:rPr>
      <w:b/>
      <w:bCs/>
    </w:rPr>
  </w:style>
  <w:style w:type="paragraph" w:styleId="NoSpacing">
    <w:name w:val="No Spacing"/>
    <w:autoRedefine/>
    <w:uiPriority w:val="1"/>
    <w:qFormat/>
    <w:rsid w:val="002B57E2"/>
    <w:pPr>
      <w:spacing w:after="0" w:line="240" w:lineRule="auto"/>
    </w:pPr>
    <w:rPr>
      <w:rFonts w:ascii="Calibri" w:eastAsia="Calibri" w:hAnsi="Calibri" w:cs="Times New Roman"/>
      <w:lang w:val="en-US"/>
    </w:rPr>
  </w:style>
  <w:style w:type="character" w:styleId="SubtleEmphasis">
    <w:name w:val="Subtle Emphasis"/>
    <w:basedOn w:val="DefaultParagraphFont"/>
    <w:uiPriority w:val="19"/>
    <w:qFormat/>
    <w:rsid w:val="002B57E2"/>
    <w:rPr>
      <w:i/>
      <w:iCs/>
      <w:color w:val="808080" w:themeColor="text1" w:themeTint="7F"/>
    </w:rPr>
  </w:style>
  <w:style w:type="character" w:styleId="IntenseEmphasis">
    <w:name w:val="Intense Emphasis"/>
    <w:basedOn w:val="DefaultParagraphFont"/>
    <w:uiPriority w:val="21"/>
    <w:qFormat/>
    <w:rsid w:val="002B57E2"/>
    <w:rPr>
      <w:b/>
      <w:bCs/>
      <w:i/>
      <w:iCs/>
      <w:color w:val="4F81BD" w:themeColor="accent1"/>
    </w:rPr>
  </w:style>
  <w:style w:type="paragraph" w:styleId="Quote">
    <w:name w:val="Quote"/>
    <w:basedOn w:val="Normal"/>
    <w:next w:val="Normal"/>
    <w:link w:val="QuoteChar"/>
    <w:autoRedefine/>
    <w:uiPriority w:val="29"/>
    <w:qFormat/>
    <w:rsid w:val="002B57E2"/>
    <w:rPr>
      <w:rFonts w:ascii="Calibri" w:eastAsia="Calibri" w:hAnsi="Calibri"/>
      <w:i/>
      <w:iCs/>
      <w:color w:val="000000" w:themeColor="text1"/>
      <w:lang w:val="en-US"/>
    </w:rPr>
  </w:style>
  <w:style w:type="character" w:customStyle="1" w:styleId="QuoteChar">
    <w:name w:val="Quote Char"/>
    <w:basedOn w:val="DefaultParagraphFont"/>
    <w:link w:val="Quote"/>
    <w:uiPriority w:val="29"/>
    <w:rsid w:val="002B57E2"/>
    <w:rPr>
      <w:rFonts w:ascii="Calibri" w:eastAsia="Calibri" w:hAnsi="Calibri"/>
      <w:i/>
      <w:iCs/>
      <w:color w:val="000000" w:themeColor="text1"/>
      <w:sz w:val="22"/>
      <w:szCs w:val="22"/>
      <w:lang w:val="en-US" w:eastAsia="en-US"/>
    </w:rPr>
  </w:style>
  <w:style w:type="character" w:styleId="SubtleReference">
    <w:name w:val="Subtle Reference"/>
    <w:basedOn w:val="DefaultParagraphFont"/>
    <w:uiPriority w:val="31"/>
    <w:qFormat/>
    <w:rsid w:val="002B57E2"/>
    <w:rPr>
      <w:smallCaps/>
      <w:color w:val="C0504D" w:themeColor="accent2"/>
      <w:u w:val="single"/>
    </w:rPr>
  </w:style>
  <w:style w:type="character" w:styleId="IntenseReference">
    <w:name w:val="Intense Reference"/>
    <w:basedOn w:val="DefaultParagraphFont"/>
    <w:uiPriority w:val="32"/>
    <w:qFormat/>
    <w:rsid w:val="002B57E2"/>
    <w:rPr>
      <w:b/>
      <w:bCs/>
      <w:smallCaps/>
      <w:color w:val="C0504D" w:themeColor="accent2"/>
      <w:spacing w:val="5"/>
      <w:u w:val="single"/>
    </w:rPr>
  </w:style>
  <w:style w:type="character" w:styleId="BookTitle">
    <w:name w:val="Book Title"/>
    <w:basedOn w:val="DefaultParagraphFont"/>
    <w:uiPriority w:val="33"/>
    <w:qFormat/>
    <w:rsid w:val="002B57E2"/>
    <w:rPr>
      <w:b/>
      <w:bCs/>
      <w:smallCaps/>
      <w:spacing w:val="5"/>
    </w:rPr>
  </w:style>
  <w:style w:type="table" w:styleId="TableGrid">
    <w:name w:val="Table Grid"/>
    <w:basedOn w:val="TableNormal"/>
    <w:uiPriority w:val="59"/>
    <w:rsid w:val="007072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A5245"/>
    <w:rPr>
      <w:color w:val="0000FF" w:themeColor="hyperlink"/>
      <w:u w:val="single"/>
    </w:rPr>
  </w:style>
  <w:style w:type="paragraph" w:styleId="Header">
    <w:name w:val="header"/>
    <w:basedOn w:val="Normal"/>
    <w:link w:val="HeaderChar"/>
    <w:uiPriority w:val="99"/>
    <w:unhideWhenUsed/>
    <w:rsid w:val="001C1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184"/>
  </w:style>
  <w:style w:type="paragraph" w:styleId="Footer">
    <w:name w:val="footer"/>
    <w:basedOn w:val="Normal"/>
    <w:link w:val="FooterChar"/>
    <w:uiPriority w:val="99"/>
    <w:unhideWhenUsed/>
    <w:rsid w:val="001C1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184"/>
  </w:style>
  <w:style w:type="paragraph" w:styleId="BalloonText">
    <w:name w:val="Balloon Text"/>
    <w:basedOn w:val="Normal"/>
    <w:link w:val="BalloonTextChar"/>
    <w:uiPriority w:val="99"/>
    <w:semiHidden/>
    <w:unhideWhenUsed/>
    <w:rsid w:val="001C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184"/>
    <w:rPr>
      <w:rFonts w:ascii="Tahoma" w:hAnsi="Tahoma" w:cs="Tahoma"/>
      <w:sz w:val="16"/>
      <w:szCs w:val="16"/>
    </w:rPr>
  </w:style>
  <w:style w:type="character" w:styleId="FollowedHyperlink">
    <w:name w:val="FollowedHyperlink"/>
    <w:basedOn w:val="DefaultParagraphFont"/>
    <w:uiPriority w:val="99"/>
    <w:semiHidden/>
    <w:unhideWhenUsed/>
    <w:rsid w:val="007C704F"/>
    <w:rPr>
      <w:color w:val="800080" w:themeColor="followedHyperlink"/>
      <w:u w:val="single"/>
    </w:rPr>
  </w:style>
  <w:style w:type="character" w:styleId="CommentReference">
    <w:name w:val="annotation reference"/>
    <w:basedOn w:val="DefaultParagraphFont"/>
    <w:uiPriority w:val="99"/>
    <w:semiHidden/>
    <w:unhideWhenUsed/>
    <w:rsid w:val="006A3F41"/>
    <w:rPr>
      <w:sz w:val="16"/>
      <w:szCs w:val="16"/>
    </w:rPr>
  </w:style>
  <w:style w:type="paragraph" w:styleId="CommentText">
    <w:name w:val="annotation text"/>
    <w:basedOn w:val="Normal"/>
    <w:link w:val="CommentTextChar"/>
    <w:uiPriority w:val="99"/>
    <w:semiHidden/>
    <w:unhideWhenUsed/>
    <w:rsid w:val="006A3F41"/>
    <w:pPr>
      <w:spacing w:line="240" w:lineRule="auto"/>
    </w:pPr>
    <w:rPr>
      <w:sz w:val="20"/>
      <w:szCs w:val="20"/>
    </w:rPr>
  </w:style>
  <w:style w:type="character" w:customStyle="1" w:styleId="CommentTextChar">
    <w:name w:val="Comment Text Char"/>
    <w:basedOn w:val="DefaultParagraphFont"/>
    <w:link w:val="CommentText"/>
    <w:uiPriority w:val="99"/>
    <w:semiHidden/>
    <w:rsid w:val="006A3F41"/>
    <w:rPr>
      <w:sz w:val="20"/>
      <w:szCs w:val="20"/>
    </w:rPr>
  </w:style>
  <w:style w:type="paragraph" w:styleId="CommentSubject">
    <w:name w:val="annotation subject"/>
    <w:basedOn w:val="CommentText"/>
    <w:next w:val="CommentText"/>
    <w:link w:val="CommentSubjectChar"/>
    <w:uiPriority w:val="99"/>
    <w:semiHidden/>
    <w:unhideWhenUsed/>
    <w:rsid w:val="006A3F41"/>
    <w:rPr>
      <w:b/>
      <w:bCs/>
    </w:rPr>
  </w:style>
  <w:style w:type="character" w:customStyle="1" w:styleId="CommentSubjectChar">
    <w:name w:val="Comment Subject Char"/>
    <w:basedOn w:val="CommentTextChar"/>
    <w:link w:val="CommentSubject"/>
    <w:uiPriority w:val="99"/>
    <w:semiHidden/>
    <w:rsid w:val="006A3F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iesanz.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cretariat@iesanz.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Coyne</dc:creator>
  <cp:lastModifiedBy>Kirsty Kelly</cp:lastModifiedBy>
  <cp:revision>3</cp:revision>
  <cp:lastPrinted>2016-03-10T03:14:00Z</cp:lastPrinted>
  <dcterms:created xsi:type="dcterms:W3CDTF">2019-09-12T03:22:00Z</dcterms:created>
  <dcterms:modified xsi:type="dcterms:W3CDTF">2019-09-12T03:23:00Z</dcterms:modified>
</cp:coreProperties>
</file>